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07A2" w14:textId="77777777" w:rsidR="00F57CE2" w:rsidRPr="00F57CE2" w:rsidRDefault="00F57CE2" w:rsidP="00F57CE2">
      <w:pPr>
        <w:spacing w:after="0"/>
        <w:jc w:val="center"/>
        <w:rPr>
          <w:b/>
          <w:sz w:val="28"/>
          <w:szCs w:val="28"/>
        </w:rPr>
      </w:pPr>
      <w:r w:rsidRPr="00F57CE2">
        <w:rPr>
          <w:b/>
          <w:sz w:val="28"/>
          <w:szCs w:val="28"/>
        </w:rPr>
        <w:t>Joint Consortium for School Health Equity Task Group</w:t>
      </w:r>
    </w:p>
    <w:p w14:paraId="5E5E8C85" w14:textId="77777777" w:rsidR="00F57CE2" w:rsidRPr="00F57CE2" w:rsidRDefault="00F57CE2" w:rsidP="00F57CE2">
      <w:pPr>
        <w:spacing w:after="0"/>
        <w:jc w:val="center"/>
        <w:rPr>
          <w:b/>
          <w:sz w:val="28"/>
          <w:szCs w:val="28"/>
        </w:rPr>
      </w:pPr>
      <w:r w:rsidRPr="00F57CE2">
        <w:rPr>
          <w:b/>
          <w:sz w:val="28"/>
          <w:szCs w:val="28"/>
        </w:rPr>
        <w:t>Summary of Findings and Recommendations</w:t>
      </w:r>
    </w:p>
    <w:p w14:paraId="6C41ACC5" w14:textId="77777777" w:rsidR="00F57CE2" w:rsidRDefault="00F57CE2" w:rsidP="00F57CE2">
      <w:pPr>
        <w:spacing w:after="0"/>
        <w:jc w:val="center"/>
        <w:rPr>
          <w:b/>
          <w:sz w:val="28"/>
          <w:szCs w:val="28"/>
        </w:rPr>
      </w:pPr>
      <w:r>
        <w:rPr>
          <w:b/>
          <w:sz w:val="28"/>
          <w:szCs w:val="28"/>
        </w:rPr>
        <w:t>JCSH 2021-22 Annual Work Plan R</w:t>
      </w:r>
      <w:r w:rsidRPr="00F57CE2">
        <w:rPr>
          <w:b/>
          <w:sz w:val="28"/>
          <w:szCs w:val="28"/>
        </w:rPr>
        <w:t>eport</w:t>
      </w:r>
    </w:p>
    <w:p w14:paraId="2E8DF555" w14:textId="77777777" w:rsidR="00F57CE2" w:rsidRDefault="00F57CE2" w:rsidP="00F57CE2">
      <w:pPr>
        <w:spacing w:after="0"/>
        <w:rPr>
          <w:sz w:val="24"/>
          <w:szCs w:val="24"/>
        </w:rPr>
      </w:pPr>
    </w:p>
    <w:p w14:paraId="170989C9" w14:textId="77777777" w:rsidR="00F57CE2" w:rsidRDefault="00F57CE2" w:rsidP="00F57CE2">
      <w:pPr>
        <w:spacing w:after="0"/>
        <w:rPr>
          <w:sz w:val="24"/>
          <w:szCs w:val="24"/>
        </w:rPr>
      </w:pPr>
      <w:r>
        <w:rPr>
          <w:sz w:val="24"/>
          <w:szCs w:val="24"/>
        </w:rPr>
        <w:t>Repor</w:t>
      </w:r>
      <w:r w:rsidR="00E463A2">
        <w:rPr>
          <w:sz w:val="24"/>
          <w:szCs w:val="24"/>
        </w:rPr>
        <w:t>t prepared for JCSH Management C</w:t>
      </w:r>
      <w:r>
        <w:rPr>
          <w:sz w:val="24"/>
          <w:szCs w:val="24"/>
        </w:rPr>
        <w:t>ommittee</w:t>
      </w:r>
      <w:r w:rsidR="00747D25">
        <w:rPr>
          <w:sz w:val="24"/>
          <w:szCs w:val="24"/>
        </w:rPr>
        <w:t xml:space="preserve"> (MC)</w:t>
      </w:r>
      <w:r w:rsidR="00E463A2">
        <w:rPr>
          <w:sz w:val="24"/>
          <w:szCs w:val="24"/>
        </w:rPr>
        <w:t xml:space="preserve"> and School Health Coordinator C</w:t>
      </w:r>
      <w:r>
        <w:rPr>
          <w:sz w:val="24"/>
          <w:szCs w:val="24"/>
        </w:rPr>
        <w:t>ommittee</w:t>
      </w:r>
      <w:r w:rsidR="00747D25">
        <w:rPr>
          <w:sz w:val="24"/>
          <w:szCs w:val="24"/>
        </w:rPr>
        <w:t xml:space="preserve"> (SHCC)</w:t>
      </w:r>
      <w:r w:rsidR="00D33163">
        <w:rPr>
          <w:sz w:val="24"/>
          <w:szCs w:val="24"/>
        </w:rPr>
        <w:t xml:space="preserve"> by the equity task group.</w:t>
      </w:r>
    </w:p>
    <w:p w14:paraId="63F79791" w14:textId="77777777" w:rsidR="00F57CE2" w:rsidRDefault="00F57CE2" w:rsidP="00F57CE2">
      <w:pPr>
        <w:spacing w:after="0"/>
        <w:rPr>
          <w:sz w:val="24"/>
          <w:szCs w:val="24"/>
        </w:rPr>
      </w:pPr>
    </w:p>
    <w:p w14:paraId="2C7E94AE" w14:textId="77777777" w:rsidR="00F57CE2" w:rsidRDefault="00D33163" w:rsidP="00F57CE2">
      <w:pPr>
        <w:spacing w:after="0"/>
        <w:rPr>
          <w:sz w:val="24"/>
          <w:szCs w:val="24"/>
        </w:rPr>
      </w:pPr>
      <w:r>
        <w:rPr>
          <w:sz w:val="24"/>
          <w:szCs w:val="24"/>
        </w:rPr>
        <w:t>Equity t</w:t>
      </w:r>
      <w:r w:rsidR="00F57CE2">
        <w:rPr>
          <w:sz w:val="24"/>
          <w:szCs w:val="24"/>
        </w:rPr>
        <w:t>ask group members:</w:t>
      </w:r>
    </w:p>
    <w:p w14:paraId="0F1AAC7C" w14:textId="77777777" w:rsidR="00E463A2" w:rsidRDefault="00E463A2" w:rsidP="00F57CE2">
      <w:pPr>
        <w:spacing w:after="0"/>
        <w:rPr>
          <w:sz w:val="24"/>
          <w:szCs w:val="24"/>
        </w:rPr>
      </w:pPr>
      <w:r>
        <w:rPr>
          <w:sz w:val="24"/>
          <w:szCs w:val="24"/>
        </w:rPr>
        <w:t>Erin Cusack (PEI)</w:t>
      </w:r>
    </w:p>
    <w:p w14:paraId="0D57B949" w14:textId="77777777" w:rsidR="00E463A2" w:rsidRDefault="00E463A2" w:rsidP="00F57CE2">
      <w:pPr>
        <w:spacing w:after="0"/>
        <w:rPr>
          <w:sz w:val="24"/>
          <w:szCs w:val="24"/>
        </w:rPr>
      </w:pPr>
      <w:r>
        <w:rPr>
          <w:sz w:val="24"/>
          <w:szCs w:val="24"/>
        </w:rPr>
        <w:t>Anna Grumbly (SK)</w:t>
      </w:r>
      <w:bookmarkStart w:id="0" w:name="_GoBack"/>
      <w:bookmarkEnd w:id="0"/>
    </w:p>
    <w:p w14:paraId="796BEDBF" w14:textId="5BAC2DF5" w:rsidR="00F57CE2" w:rsidRDefault="00510FE1" w:rsidP="00F57CE2">
      <w:pPr>
        <w:spacing w:after="0"/>
        <w:rPr>
          <w:sz w:val="24"/>
          <w:szCs w:val="24"/>
        </w:rPr>
      </w:pPr>
      <w:r>
        <w:rPr>
          <w:sz w:val="24"/>
          <w:szCs w:val="24"/>
        </w:rPr>
        <w:t>Susan Hornby (JCSH secretariat</w:t>
      </w:r>
      <w:r w:rsidR="00F57CE2">
        <w:rPr>
          <w:sz w:val="24"/>
          <w:szCs w:val="24"/>
        </w:rPr>
        <w:t>)</w:t>
      </w:r>
    </w:p>
    <w:p w14:paraId="3C8CBC7C" w14:textId="77777777" w:rsidR="00E463A2" w:rsidRDefault="00E463A2" w:rsidP="00F57CE2">
      <w:pPr>
        <w:spacing w:after="0"/>
        <w:rPr>
          <w:sz w:val="24"/>
          <w:szCs w:val="24"/>
        </w:rPr>
      </w:pPr>
      <w:r>
        <w:rPr>
          <w:sz w:val="24"/>
          <w:szCs w:val="24"/>
        </w:rPr>
        <w:t>Aisha Khedheri (NB)</w:t>
      </w:r>
    </w:p>
    <w:p w14:paraId="7E27C3E0" w14:textId="77777777" w:rsidR="00E463A2" w:rsidRDefault="00E463A2" w:rsidP="00F57CE2">
      <w:pPr>
        <w:spacing w:after="0"/>
        <w:rPr>
          <w:sz w:val="24"/>
          <w:szCs w:val="24"/>
        </w:rPr>
      </w:pPr>
      <w:r>
        <w:rPr>
          <w:sz w:val="24"/>
          <w:szCs w:val="24"/>
        </w:rPr>
        <w:t>Melissa Munro-Bernard (PEI)</w:t>
      </w:r>
    </w:p>
    <w:p w14:paraId="5692589E" w14:textId="77777777" w:rsidR="00E463A2" w:rsidRDefault="00E463A2" w:rsidP="00F57CE2">
      <w:pPr>
        <w:spacing w:after="0"/>
        <w:rPr>
          <w:sz w:val="24"/>
          <w:szCs w:val="24"/>
        </w:rPr>
      </w:pPr>
      <w:r>
        <w:rPr>
          <w:sz w:val="24"/>
          <w:szCs w:val="24"/>
        </w:rPr>
        <w:t>Peggy Orbasli (NL)</w:t>
      </w:r>
    </w:p>
    <w:p w14:paraId="475E8322" w14:textId="04E5F6F2" w:rsidR="00F57CE2" w:rsidRDefault="00510FE1" w:rsidP="00F57CE2">
      <w:pPr>
        <w:spacing w:after="0"/>
        <w:rPr>
          <w:sz w:val="24"/>
          <w:szCs w:val="24"/>
        </w:rPr>
      </w:pPr>
      <w:r>
        <w:rPr>
          <w:sz w:val="24"/>
          <w:szCs w:val="24"/>
        </w:rPr>
        <w:t>Craig Watson (JCSH secretariat</w:t>
      </w:r>
      <w:r w:rsidR="00F57CE2">
        <w:rPr>
          <w:sz w:val="24"/>
          <w:szCs w:val="24"/>
        </w:rPr>
        <w:t>)</w:t>
      </w:r>
    </w:p>
    <w:p w14:paraId="0FD9921C" w14:textId="77777777" w:rsidR="00F57CE2" w:rsidRDefault="00F57CE2" w:rsidP="00F57CE2">
      <w:pPr>
        <w:spacing w:after="0"/>
        <w:rPr>
          <w:sz w:val="24"/>
          <w:szCs w:val="24"/>
        </w:rPr>
      </w:pPr>
    </w:p>
    <w:p w14:paraId="28C6FF16" w14:textId="77777777" w:rsidR="00366317" w:rsidRDefault="00366317" w:rsidP="00F57CE2">
      <w:pPr>
        <w:spacing w:after="0"/>
        <w:rPr>
          <w:sz w:val="24"/>
          <w:szCs w:val="24"/>
        </w:rPr>
      </w:pPr>
      <w:r>
        <w:rPr>
          <w:sz w:val="24"/>
          <w:szCs w:val="24"/>
        </w:rPr>
        <w:t>The</w:t>
      </w:r>
      <w:r w:rsidR="00747D25">
        <w:rPr>
          <w:sz w:val="24"/>
          <w:szCs w:val="24"/>
        </w:rPr>
        <w:t xml:space="preserve"> e</w:t>
      </w:r>
      <w:r>
        <w:rPr>
          <w:sz w:val="24"/>
          <w:szCs w:val="24"/>
        </w:rPr>
        <w:t>quity task group was formed to support the following JCSH objective:</w:t>
      </w:r>
    </w:p>
    <w:p w14:paraId="7534AA55" w14:textId="77777777" w:rsidR="00F57CE2" w:rsidRPr="00747D25" w:rsidRDefault="00366317" w:rsidP="00F57CE2">
      <w:pPr>
        <w:spacing w:after="0"/>
        <w:rPr>
          <w:b/>
          <w:sz w:val="24"/>
          <w:szCs w:val="24"/>
        </w:rPr>
      </w:pPr>
      <w:r w:rsidRPr="00747D25">
        <w:rPr>
          <w:b/>
          <w:sz w:val="24"/>
          <w:szCs w:val="24"/>
        </w:rPr>
        <w:t>There is a continual exchange of information and knowledge among member jurisdictions related to the connection between health, well-being, and learning outcomes for all students.</w:t>
      </w:r>
    </w:p>
    <w:p w14:paraId="007779B1" w14:textId="77777777" w:rsidR="00D33163" w:rsidRDefault="00D33163" w:rsidP="00F57CE2">
      <w:pPr>
        <w:spacing w:after="0"/>
        <w:rPr>
          <w:sz w:val="24"/>
          <w:szCs w:val="24"/>
        </w:rPr>
      </w:pPr>
    </w:p>
    <w:p w14:paraId="028423B1" w14:textId="77777777" w:rsidR="00747D25" w:rsidRDefault="007051F3" w:rsidP="00F57CE2">
      <w:pPr>
        <w:spacing w:after="0"/>
        <w:rPr>
          <w:sz w:val="24"/>
          <w:szCs w:val="24"/>
        </w:rPr>
      </w:pPr>
      <w:r>
        <w:rPr>
          <w:sz w:val="24"/>
          <w:szCs w:val="24"/>
        </w:rPr>
        <w:t>The activity</w:t>
      </w:r>
      <w:r w:rsidR="00747D25">
        <w:rPr>
          <w:sz w:val="24"/>
          <w:szCs w:val="24"/>
        </w:rPr>
        <w:t xml:space="preserve"> assigned to the equity task group as outlined in the JCSH 2021-22 work plan was:</w:t>
      </w:r>
    </w:p>
    <w:p w14:paraId="2259ED1C" w14:textId="77777777" w:rsidR="00747D25" w:rsidRPr="00747D25" w:rsidRDefault="00747D25" w:rsidP="00F57CE2">
      <w:pPr>
        <w:spacing w:after="0"/>
        <w:rPr>
          <w:sz w:val="24"/>
          <w:szCs w:val="24"/>
        </w:rPr>
      </w:pPr>
    </w:p>
    <w:p w14:paraId="6EEA05CC" w14:textId="77777777" w:rsidR="00747D25" w:rsidRPr="00747D25" w:rsidRDefault="00747D25" w:rsidP="00747D25">
      <w:pPr>
        <w:pStyle w:val="ListParagraph"/>
        <w:numPr>
          <w:ilvl w:val="0"/>
          <w:numId w:val="3"/>
        </w:numPr>
        <w:spacing w:after="0"/>
        <w:rPr>
          <w:sz w:val="24"/>
          <w:szCs w:val="24"/>
        </w:rPr>
      </w:pPr>
      <w:r w:rsidRPr="00747D25">
        <w:rPr>
          <w:sz w:val="24"/>
          <w:szCs w:val="24"/>
        </w:rPr>
        <w:t xml:space="preserve">Conduct Structural Determinants of Health and Equity Environmental Scans related to the school environment. </w:t>
      </w:r>
    </w:p>
    <w:p w14:paraId="22ED64A0" w14:textId="77777777" w:rsidR="00747D25" w:rsidRDefault="00747D25" w:rsidP="00747D25">
      <w:pPr>
        <w:spacing w:after="0"/>
        <w:rPr>
          <w:sz w:val="24"/>
          <w:szCs w:val="24"/>
        </w:rPr>
      </w:pPr>
    </w:p>
    <w:p w14:paraId="083A1396" w14:textId="77777777" w:rsidR="00747D25" w:rsidRDefault="00747D25" w:rsidP="00747D25">
      <w:pPr>
        <w:spacing w:after="0"/>
        <w:rPr>
          <w:sz w:val="24"/>
          <w:szCs w:val="24"/>
        </w:rPr>
      </w:pPr>
      <w:r>
        <w:rPr>
          <w:sz w:val="24"/>
          <w:szCs w:val="24"/>
        </w:rPr>
        <w:t xml:space="preserve">The indicators developed to monitor </w:t>
      </w:r>
      <w:r w:rsidR="00E463A2">
        <w:rPr>
          <w:sz w:val="24"/>
          <w:szCs w:val="24"/>
        </w:rPr>
        <w:t xml:space="preserve">this </w:t>
      </w:r>
      <w:r>
        <w:rPr>
          <w:sz w:val="24"/>
          <w:szCs w:val="24"/>
        </w:rPr>
        <w:t>activity were:</w:t>
      </w:r>
    </w:p>
    <w:p w14:paraId="370E2394" w14:textId="77777777" w:rsidR="00747D25" w:rsidRDefault="00747D25" w:rsidP="00747D25">
      <w:pPr>
        <w:pStyle w:val="ListParagraph"/>
        <w:numPr>
          <w:ilvl w:val="0"/>
          <w:numId w:val="3"/>
        </w:numPr>
        <w:spacing w:after="0"/>
        <w:rPr>
          <w:sz w:val="24"/>
          <w:szCs w:val="24"/>
        </w:rPr>
      </w:pPr>
      <w:r>
        <w:rPr>
          <w:sz w:val="24"/>
          <w:szCs w:val="24"/>
        </w:rPr>
        <w:t>Develop equity task group</w:t>
      </w:r>
    </w:p>
    <w:p w14:paraId="3477C68C" w14:textId="77777777" w:rsidR="00747D25" w:rsidRDefault="00747D25" w:rsidP="00747D25">
      <w:pPr>
        <w:pStyle w:val="ListParagraph"/>
        <w:numPr>
          <w:ilvl w:val="0"/>
          <w:numId w:val="3"/>
        </w:numPr>
        <w:spacing w:after="0"/>
        <w:rPr>
          <w:sz w:val="24"/>
          <w:szCs w:val="24"/>
        </w:rPr>
      </w:pPr>
      <w:r>
        <w:rPr>
          <w:sz w:val="24"/>
          <w:szCs w:val="24"/>
        </w:rPr>
        <w:t>Identify priority scans</w:t>
      </w:r>
    </w:p>
    <w:p w14:paraId="7208C445" w14:textId="77777777" w:rsidR="00F57CE2" w:rsidRPr="00747D25" w:rsidRDefault="00747D25" w:rsidP="00F57CE2">
      <w:pPr>
        <w:pStyle w:val="ListParagraph"/>
        <w:numPr>
          <w:ilvl w:val="0"/>
          <w:numId w:val="3"/>
        </w:numPr>
        <w:spacing w:after="0"/>
        <w:rPr>
          <w:sz w:val="24"/>
          <w:szCs w:val="24"/>
        </w:rPr>
      </w:pPr>
      <w:r>
        <w:rPr>
          <w:sz w:val="24"/>
          <w:szCs w:val="24"/>
        </w:rPr>
        <w:t>Begin undertaking scans</w:t>
      </w:r>
    </w:p>
    <w:p w14:paraId="555E7BFB" w14:textId="77777777" w:rsidR="00747D25" w:rsidRDefault="00747D25" w:rsidP="00F57CE2">
      <w:pPr>
        <w:spacing w:after="0"/>
        <w:rPr>
          <w:sz w:val="24"/>
          <w:szCs w:val="24"/>
        </w:rPr>
      </w:pPr>
    </w:p>
    <w:p w14:paraId="24C74233" w14:textId="7A7619E1" w:rsidR="00F57CE2" w:rsidRDefault="00747D25" w:rsidP="00F57CE2">
      <w:pPr>
        <w:spacing w:after="0"/>
        <w:rPr>
          <w:sz w:val="24"/>
          <w:szCs w:val="24"/>
        </w:rPr>
      </w:pPr>
      <w:r w:rsidRPr="00747D25">
        <w:rPr>
          <w:b/>
          <w:sz w:val="24"/>
          <w:szCs w:val="24"/>
          <w:u w:val="single"/>
        </w:rPr>
        <w:t xml:space="preserve">Status </w:t>
      </w:r>
      <w:r w:rsidR="00EE4579">
        <w:rPr>
          <w:b/>
          <w:sz w:val="24"/>
          <w:szCs w:val="24"/>
          <w:u w:val="single"/>
        </w:rPr>
        <w:t>Update on I</w:t>
      </w:r>
      <w:r w:rsidRPr="00747D25">
        <w:rPr>
          <w:b/>
          <w:sz w:val="24"/>
          <w:szCs w:val="24"/>
          <w:u w:val="single"/>
        </w:rPr>
        <w:t>ndicators</w:t>
      </w:r>
    </w:p>
    <w:p w14:paraId="0B43553B" w14:textId="77777777" w:rsidR="00747D25" w:rsidRDefault="00747D25" w:rsidP="00F57CE2">
      <w:pPr>
        <w:spacing w:after="0"/>
        <w:rPr>
          <w:sz w:val="24"/>
          <w:szCs w:val="24"/>
        </w:rPr>
      </w:pPr>
      <w:r>
        <w:rPr>
          <w:sz w:val="24"/>
          <w:szCs w:val="24"/>
        </w:rPr>
        <w:t xml:space="preserve">As of February 28, 2022 the equity task group was successful in completing all work plan tasks.  On October 12, 2021 all members of the MC and SHCC received an email invitation to join the equity task group.  </w:t>
      </w:r>
      <w:r w:rsidR="007B7042">
        <w:rPr>
          <w:sz w:val="24"/>
          <w:szCs w:val="24"/>
        </w:rPr>
        <w:t xml:space="preserve">Seven participants self-selected to become members of this task group with representation from Saskatchewan, Prince Edward Island, New Brunswick, and Newfoundland Labrador.  </w:t>
      </w:r>
    </w:p>
    <w:p w14:paraId="31295C7A" w14:textId="336B1047" w:rsidR="007B7042" w:rsidRDefault="007B7042" w:rsidP="00F57CE2">
      <w:pPr>
        <w:spacing w:after="0"/>
        <w:rPr>
          <w:sz w:val="24"/>
          <w:szCs w:val="24"/>
        </w:rPr>
      </w:pPr>
      <w:r>
        <w:rPr>
          <w:sz w:val="24"/>
          <w:szCs w:val="24"/>
        </w:rPr>
        <w:t>The task group met November 16, 2021, January 28, 2022, and February 25, 2022 to discuss the structural determinants of health, priority areas of focus under the determinants, and to share resources for rev</w:t>
      </w:r>
      <w:r w:rsidR="005D41AF">
        <w:rPr>
          <w:sz w:val="24"/>
          <w:szCs w:val="24"/>
        </w:rPr>
        <w:t>iew.  The task group communicated through email between meetings. A scan was undertaken to assess if</w:t>
      </w:r>
      <w:r w:rsidR="007051F3">
        <w:rPr>
          <w:sz w:val="24"/>
          <w:szCs w:val="24"/>
        </w:rPr>
        <w:t xml:space="preserve"> </w:t>
      </w:r>
      <w:r>
        <w:rPr>
          <w:sz w:val="24"/>
          <w:szCs w:val="24"/>
        </w:rPr>
        <w:t xml:space="preserve">the structural determinants of health </w:t>
      </w:r>
      <w:r w:rsidR="007051F3">
        <w:rPr>
          <w:sz w:val="24"/>
          <w:szCs w:val="24"/>
        </w:rPr>
        <w:t xml:space="preserve">are being addressed </w:t>
      </w:r>
      <w:r>
        <w:rPr>
          <w:sz w:val="24"/>
          <w:szCs w:val="24"/>
        </w:rPr>
        <w:t xml:space="preserve">within </w:t>
      </w:r>
      <w:r>
        <w:rPr>
          <w:sz w:val="24"/>
          <w:szCs w:val="24"/>
        </w:rPr>
        <w:lastRenderedPageBreak/>
        <w:t xml:space="preserve">the specific environment of schools. </w:t>
      </w:r>
      <w:r w:rsidR="005D41AF" w:rsidRPr="005315FD">
        <w:rPr>
          <w:sz w:val="24"/>
          <w:szCs w:val="24"/>
        </w:rPr>
        <w:t>A</w:t>
      </w:r>
      <w:r w:rsidR="0088656B" w:rsidRPr="005315FD">
        <w:rPr>
          <w:sz w:val="24"/>
          <w:szCs w:val="24"/>
        </w:rPr>
        <w:t>n initial</w:t>
      </w:r>
      <w:r w:rsidR="005D41AF" w:rsidRPr="005315FD">
        <w:rPr>
          <w:sz w:val="24"/>
          <w:szCs w:val="24"/>
        </w:rPr>
        <w:t xml:space="preserve"> scan was also condu</w:t>
      </w:r>
      <w:r w:rsidR="007051F3" w:rsidRPr="005315FD">
        <w:rPr>
          <w:sz w:val="24"/>
          <w:szCs w:val="24"/>
        </w:rPr>
        <w:t xml:space="preserve">cted to assess how </w:t>
      </w:r>
      <w:r w:rsidR="005D41AF" w:rsidRPr="005315FD">
        <w:rPr>
          <w:sz w:val="24"/>
          <w:szCs w:val="24"/>
        </w:rPr>
        <w:t xml:space="preserve">equity </w:t>
      </w:r>
      <w:r w:rsidR="007051F3" w:rsidRPr="005315FD">
        <w:rPr>
          <w:sz w:val="24"/>
          <w:szCs w:val="24"/>
        </w:rPr>
        <w:t xml:space="preserve">is being addressed </w:t>
      </w:r>
      <w:r w:rsidR="005D41AF" w:rsidRPr="005315FD">
        <w:rPr>
          <w:sz w:val="24"/>
          <w:szCs w:val="24"/>
        </w:rPr>
        <w:t>in the</w:t>
      </w:r>
      <w:r w:rsidR="00E463A2" w:rsidRPr="005315FD">
        <w:rPr>
          <w:sz w:val="24"/>
          <w:szCs w:val="24"/>
        </w:rPr>
        <w:t xml:space="preserve"> specific</w:t>
      </w:r>
      <w:r w:rsidR="005D41AF" w:rsidRPr="005315FD">
        <w:rPr>
          <w:sz w:val="24"/>
          <w:szCs w:val="24"/>
        </w:rPr>
        <w:t xml:space="preserve"> environment of schools.</w:t>
      </w:r>
      <w:r w:rsidR="005D41AF">
        <w:rPr>
          <w:sz w:val="24"/>
          <w:szCs w:val="24"/>
        </w:rPr>
        <w:t xml:space="preserve">  A list of resources and initiatives included</w:t>
      </w:r>
      <w:r w:rsidR="00DF5709">
        <w:rPr>
          <w:sz w:val="24"/>
          <w:szCs w:val="24"/>
        </w:rPr>
        <w:t xml:space="preserve"> in the review are listed at the end of this summary</w:t>
      </w:r>
      <w:r w:rsidR="005D41AF">
        <w:rPr>
          <w:sz w:val="24"/>
          <w:szCs w:val="24"/>
        </w:rPr>
        <w:t>.</w:t>
      </w:r>
    </w:p>
    <w:p w14:paraId="1ACD75F6" w14:textId="77777777" w:rsidR="000C09E6" w:rsidRDefault="000C09E6" w:rsidP="00F57CE2">
      <w:pPr>
        <w:spacing w:after="0"/>
        <w:rPr>
          <w:sz w:val="24"/>
          <w:szCs w:val="24"/>
        </w:rPr>
      </w:pPr>
    </w:p>
    <w:p w14:paraId="57331656" w14:textId="77777777" w:rsidR="00625261" w:rsidRDefault="00625261" w:rsidP="00F57CE2">
      <w:pPr>
        <w:spacing w:after="0"/>
        <w:rPr>
          <w:b/>
          <w:sz w:val="24"/>
          <w:szCs w:val="24"/>
          <w:u w:val="single"/>
        </w:rPr>
      </w:pPr>
      <w:r w:rsidRPr="00625261">
        <w:rPr>
          <w:b/>
          <w:sz w:val="24"/>
          <w:szCs w:val="24"/>
          <w:u w:val="single"/>
        </w:rPr>
        <w:t>Summary of Findings</w:t>
      </w:r>
    </w:p>
    <w:p w14:paraId="5DECD561" w14:textId="77777777" w:rsidR="00F21793" w:rsidRDefault="00F21793" w:rsidP="00F57CE2">
      <w:pPr>
        <w:spacing w:after="0"/>
        <w:rPr>
          <w:b/>
          <w:sz w:val="24"/>
          <w:szCs w:val="24"/>
          <w:u w:val="single"/>
        </w:rPr>
      </w:pPr>
    </w:p>
    <w:p w14:paraId="61C2D8E8" w14:textId="77777777" w:rsidR="00F21793" w:rsidRPr="00F21793" w:rsidRDefault="00F21793" w:rsidP="00F57CE2">
      <w:pPr>
        <w:spacing w:after="0"/>
        <w:rPr>
          <w:b/>
          <w:sz w:val="24"/>
          <w:szCs w:val="24"/>
        </w:rPr>
      </w:pPr>
      <w:r w:rsidRPr="00F21793">
        <w:rPr>
          <w:b/>
          <w:sz w:val="24"/>
          <w:szCs w:val="24"/>
        </w:rPr>
        <w:t>Background</w:t>
      </w:r>
    </w:p>
    <w:p w14:paraId="51E6422E" w14:textId="7413D43E" w:rsidR="00611AA0" w:rsidRDefault="00095342" w:rsidP="00095342">
      <w:pPr>
        <w:spacing w:after="0"/>
        <w:rPr>
          <w:sz w:val="24"/>
          <w:szCs w:val="24"/>
        </w:rPr>
      </w:pPr>
      <w:r w:rsidRPr="00611AA0">
        <w:rPr>
          <w:b/>
          <w:sz w:val="24"/>
          <w:szCs w:val="24"/>
        </w:rPr>
        <w:t xml:space="preserve">Structural </w:t>
      </w:r>
      <w:r w:rsidR="00611AA0">
        <w:rPr>
          <w:b/>
          <w:sz w:val="24"/>
          <w:szCs w:val="24"/>
        </w:rPr>
        <w:t>d</w:t>
      </w:r>
      <w:r w:rsidRPr="00611AA0">
        <w:rPr>
          <w:b/>
          <w:sz w:val="24"/>
          <w:szCs w:val="24"/>
        </w:rPr>
        <w:t xml:space="preserve">eterminants of </w:t>
      </w:r>
      <w:r w:rsidR="00611AA0">
        <w:rPr>
          <w:b/>
          <w:sz w:val="24"/>
          <w:szCs w:val="24"/>
        </w:rPr>
        <w:t>h</w:t>
      </w:r>
      <w:r w:rsidRPr="00611AA0">
        <w:rPr>
          <w:b/>
          <w:sz w:val="24"/>
          <w:szCs w:val="24"/>
        </w:rPr>
        <w:t>ealth</w:t>
      </w:r>
      <w:r w:rsidR="00611AA0">
        <w:rPr>
          <w:sz w:val="24"/>
          <w:szCs w:val="24"/>
        </w:rPr>
        <w:t xml:space="preserve"> are</w:t>
      </w:r>
      <w:r w:rsidRPr="00095342">
        <w:rPr>
          <w:sz w:val="24"/>
          <w:szCs w:val="24"/>
        </w:rPr>
        <w:t xml:space="preserve"> how social, economic</w:t>
      </w:r>
      <w:r w:rsidR="0073790A">
        <w:rPr>
          <w:sz w:val="24"/>
          <w:szCs w:val="24"/>
        </w:rPr>
        <w:t xml:space="preserve">, and political factors </w:t>
      </w:r>
      <w:r w:rsidRPr="00095342">
        <w:rPr>
          <w:sz w:val="24"/>
          <w:szCs w:val="24"/>
        </w:rPr>
        <w:t xml:space="preserve">influence a person's socioeconomic position which, in turn, plays a role in determining health outcomes. These factors can influence a person's ability to lead a healthy life, influencing things such as quality of housing, opportunities in the built environment that encourage physical activity, and access to healthcare services. </w:t>
      </w:r>
    </w:p>
    <w:p w14:paraId="0985C85D" w14:textId="77777777" w:rsidR="00611AA0" w:rsidRDefault="00611AA0" w:rsidP="00095342">
      <w:pPr>
        <w:spacing w:after="0"/>
        <w:rPr>
          <w:sz w:val="24"/>
          <w:szCs w:val="24"/>
        </w:rPr>
      </w:pPr>
    </w:p>
    <w:p w14:paraId="6C644F9B" w14:textId="77777777" w:rsidR="00611AA0" w:rsidRDefault="009353ED" w:rsidP="00095342">
      <w:pPr>
        <w:spacing w:after="0"/>
        <w:rPr>
          <w:sz w:val="24"/>
          <w:szCs w:val="24"/>
        </w:rPr>
      </w:pPr>
      <w:r>
        <w:rPr>
          <w:sz w:val="24"/>
          <w:szCs w:val="24"/>
        </w:rPr>
        <w:t xml:space="preserve">The </w:t>
      </w:r>
      <w:r w:rsidR="00611AA0" w:rsidRPr="007B4ED1">
        <w:rPr>
          <w:sz w:val="24"/>
          <w:szCs w:val="24"/>
        </w:rPr>
        <w:t>determinants of health</w:t>
      </w:r>
      <w:r w:rsidR="00611AA0">
        <w:rPr>
          <w:sz w:val="24"/>
          <w:szCs w:val="24"/>
        </w:rPr>
        <w:t xml:space="preserve"> </w:t>
      </w:r>
      <w:r w:rsidR="00095342" w:rsidRPr="00095342">
        <w:rPr>
          <w:sz w:val="24"/>
          <w:szCs w:val="24"/>
        </w:rPr>
        <w:t>are categorized into two broad types that work together to impact health and well-being. These determinants are</w:t>
      </w:r>
      <w:r w:rsidR="00611AA0">
        <w:rPr>
          <w:sz w:val="24"/>
          <w:szCs w:val="24"/>
        </w:rPr>
        <w:t>:</w:t>
      </w:r>
    </w:p>
    <w:p w14:paraId="5F4ED382" w14:textId="77777777" w:rsidR="00611AA0" w:rsidRDefault="00095342" w:rsidP="00611AA0">
      <w:pPr>
        <w:pStyle w:val="ListParagraph"/>
        <w:numPr>
          <w:ilvl w:val="0"/>
          <w:numId w:val="10"/>
        </w:numPr>
        <w:spacing w:after="0"/>
        <w:rPr>
          <w:sz w:val="24"/>
          <w:szCs w:val="24"/>
        </w:rPr>
      </w:pPr>
      <w:r w:rsidRPr="00611AA0">
        <w:rPr>
          <w:sz w:val="24"/>
          <w:szCs w:val="24"/>
        </w:rPr>
        <w:t>structural determinants, which include socioeconomic status and community/societal context, and</w:t>
      </w:r>
      <w:r w:rsidR="00611AA0">
        <w:rPr>
          <w:sz w:val="24"/>
          <w:szCs w:val="24"/>
        </w:rPr>
        <w:t>;</w:t>
      </w:r>
      <w:r w:rsidRPr="00611AA0">
        <w:rPr>
          <w:sz w:val="24"/>
          <w:szCs w:val="24"/>
        </w:rPr>
        <w:t xml:space="preserve"> </w:t>
      </w:r>
    </w:p>
    <w:p w14:paraId="6E151923" w14:textId="77777777" w:rsidR="00095342" w:rsidRPr="00611AA0" w:rsidRDefault="00095342" w:rsidP="00611AA0">
      <w:pPr>
        <w:pStyle w:val="ListParagraph"/>
        <w:numPr>
          <w:ilvl w:val="0"/>
          <w:numId w:val="10"/>
        </w:numPr>
        <w:spacing w:after="0"/>
        <w:rPr>
          <w:sz w:val="24"/>
          <w:szCs w:val="24"/>
        </w:rPr>
      </w:pPr>
      <w:r w:rsidRPr="00611AA0">
        <w:rPr>
          <w:sz w:val="24"/>
          <w:szCs w:val="24"/>
        </w:rPr>
        <w:t xml:space="preserve">intermediary determinants, which include the living and working conditions of people </w:t>
      </w:r>
    </w:p>
    <w:p w14:paraId="3A7237AB" w14:textId="227267F0" w:rsidR="00095342" w:rsidRDefault="00095342" w:rsidP="00095342">
      <w:pPr>
        <w:spacing w:after="0"/>
        <w:rPr>
          <w:sz w:val="24"/>
          <w:szCs w:val="24"/>
        </w:rPr>
      </w:pPr>
    </w:p>
    <w:p w14:paraId="14745850" w14:textId="44019F56" w:rsidR="005315FD" w:rsidRDefault="005315FD" w:rsidP="005315FD">
      <w:pPr>
        <w:spacing w:after="0"/>
        <w:rPr>
          <w:sz w:val="24"/>
          <w:szCs w:val="24"/>
        </w:rPr>
      </w:pPr>
      <w:r w:rsidRPr="007B4ED1">
        <w:rPr>
          <w:sz w:val="24"/>
          <w:szCs w:val="24"/>
        </w:rPr>
        <w:t>Structural determinants</w:t>
      </w:r>
      <w:r w:rsidRPr="00095342">
        <w:rPr>
          <w:sz w:val="24"/>
          <w:szCs w:val="24"/>
        </w:rPr>
        <w:t xml:space="preserve"> are the ‘root causes’ of health inequities, because they shape the quality of the </w:t>
      </w:r>
      <w:r>
        <w:rPr>
          <w:sz w:val="24"/>
          <w:szCs w:val="24"/>
        </w:rPr>
        <w:t>intermediary determinants</w:t>
      </w:r>
      <w:r w:rsidRPr="00095342">
        <w:rPr>
          <w:sz w:val="24"/>
          <w:szCs w:val="24"/>
        </w:rPr>
        <w:t xml:space="preserve"> experienced by people in their neighbo</w:t>
      </w:r>
      <w:r w:rsidR="00F83B36">
        <w:rPr>
          <w:sz w:val="24"/>
          <w:szCs w:val="24"/>
        </w:rPr>
        <w:t>u</w:t>
      </w:r>
      <w:r w:rsidRPr="00095342">
        <w:rPr>
          <w:sz w:val="24"/>
          <w:szCs w:val="24"/>
        </w:rPr>
        <w:t xml:space="preserve">rhoods and communities. </w:t>
      </w:r>
    </w:p>
    <w:p w14:paraId="4E6CC349" w14:textId="77777777" w:rsidR="005315FD" w:rsidRDefault="005315FD" w:rsidP="005315FD">
      <w:pPr>
        <w:spacing w:after="0"/>
        <w:rPr>
          <w:sz w:val="24"/>
          <w:szCs w:val="24"/>
        </w:rPr>
      </w:pPr>
    </w:p>
    <w:p w14:paraId="3D8CB9A3" w14:textId="2E70DFC2" w:rsidR="005315FD" w:rsidRPr="00611AA0" w:rsidRDefault="005315FD" w:rsidP="005315FD">
      <w:pPr>
        <w:spacing w:after="0"/>
        <w:rPr>
          <w:sz w:val="24"/>
          <w:szCs w:val="24"/>
        </w:rPr>
      </w:pPr>
      <w:r w:rsidRPr="00611AA0">
        <w:rPr>
          <w:sz w:val="24"/>
          <w:szCs w:val="24"/>
        </w:rPr>
        <w:t>The structural determinants affect whether the resources necessary for health are distributed equally in society, or whether they are unjustly distributed according to race, gender</w:t>
      </w:r>
      <w:r w:rsidR="00F83B36">
        <w:rPr>
          <w:sz w:val="24"/>
          <w:szCs w:val="24"/>
        </w:rPr>
        <w:t xml:space="preserve"> identity</w:t>
      </w:r>
      <w:r w:rsidRPr="00611AA0">
        <w:rPr>
          <w:sz w:val="24"/>
          <w:szCs w:val="24"/>
        </w:rPr>
        <w:t>, social class, geography, sexual</w:t>
      </w:r>
      <w:r w:rsidR="00F83B36">
        <w:rPr>
          <w:sz w:val="24"/>
          <w:szCs w:val="24"/>
        </w:rPr>
        <w:t>orientation</w:t>
      </w:r>
      <w:r w:rsidRPr="00611AA0">
        <w:rPr>
          <w:sz w:val="24"/>
          <w:szCs w:val="24"/>
        </w:rPr>
        <w:t xml:space="preserve">, or other socially defined group of people. </w:t>
      </w:r>
    </w:p>
    <w:p w14:paraId="5ABA6E31" w14:textId="77777777" w:rsidR="005315FD" w:rsidRDefault="005315FD" w:rsidP="005315FD">
      <w:pPr>
        <w:spacing w:after="0"/>
        <w:rPr>
          <w:sz w:val="24"/>
          <w:szCs w:val="24"/>
        </w:rPr>
      </w:pPr>
    </w:p>
    <w:p w14:paraId="3D222EAF" w14:textId="77777777" w:rsidR="005315FD" w:rsidRDefault="005315FD" w:rsidP="005315FD">
      <w:pPr>
        <w:spacing w:after="0"/>
        <w:rPr>
          <w:sz w:val="24"/>
          <w:szCs w:val="24"/>
        </w:rPr>
      </w:pPr>
      <w:r w:rsidRPr="00095342">
        <w:rPr>
          <w:sz w:val="24"/>
          <w:szCs w:val="24"/>
        </w:rPr>
        <w:t>The s</w:t>
      </w:r>
      <w:r>
        <w:rPr>
          <w:sz w:val="24"/>
          <w:szCs w:val="24"/>
        </w:rPr>
        <w:t xml:space="preserve">tructural determinants include </w:t>
      </w:r>
      <w:r w:rsidRPr="00095342">
        <w:rPr>
          <w:sz w:val="24"/>
          <w:szCs w:val="24"/>
        </w:rPr>
        <w:t>all social and poli</w:t>
      </w:r>
      <w:r>
        <w:rPr>
          <w:sz w:val="24"/>
          <w:szCs w:val="24"/>
        </w:rPr>
        <w:t>tical mechanisms that generate</w:t>
      </w:r>
      <w:r w:rsidRPr="00095342">
        <w:rPr>
          <w:sz w:val="24"/>
          <w:szCs w:val="24"/>
        </w:rPr>
        <w:t xml:space="preserve"> stratification and social class divisions in society and that define individual socioeconomic position within hierarchies of power, prestige</w:t>
      </w:r>
      <w:r>
        <w:rPr>
          <w:sz w:val="24"/>
          <w:szCs w:val="24"/>
        </w:rPr>
        <w:t xml:space="preserve"> and access to resources</w:t>
      </w:r>
      <w:r w:rsidRPr="00095342">
        <w:rPr>
          <w:sz w:val="24"/>
          <w:szCs w:val="24"/>
        </w:rPr>
        <w:t xml:space="preserve">. The structural determinants cause and operate through intermediary determinants of health—housing, physical work environment, social support, stress, nutrition and physical activity—to shape health outcomes. </w:t>
      </w:r>
    </w:p>
    <w:p w14:paraId="1A0A33DD" w14:textId="77777777" w:rsidR="005315FD" w:rsidRPr="00095342" w:rsidRDefault="005315FD" w:rsidP="00095342">
      <w:pPr>
        <w:spacing w:after="0"/>
        <w:rPr>
          <w:sz w:val="24"/>
          <w:szCs w:val="24"/>
        </w:rPr>
      </w:pPr>
    </w:p>
    <w:p w14:paraId="4ACE80F3" w14:textId="2ECA3AB6" w:rsidR="00611AA0" w:rsidRDefault="00611AA0" w:rsidP="00095342">
      <w:pPr>
        <w:spacing w:after="0"/>
        <w:rPr>
          <w:sz w:val="24"/>
          <w:szCs w:val="24"/>
        </w:rPr>
      </w:pPr>
      <w:r w:rsidRPr="00611AA0">
        <w:rPr>
          <w:b/>
          <w:sz w:val="24"/>
          <w:szCs w:val="24"/>
        </w:rPr>
        <w:t>Intermediary determinants of health</w:t>
      </w:r>
      <w:r>
        <w:rPr>
          <w:sz w:val="24"/>
          <w:szCs w:val="24"/>
        </w:rPr>
        <w:t xml:space="preserve"> are the social determinants of h</w:t>
      </w:r>
      <w:r w:rsidR="00095342" w:rsidRPr="00095342">
        <w:rPr>
          <w:sz w:val="24"/>
          <w:szCs w:val="24"/>
        </w:rPr>
        <w:t>ealth</w:t>
      </w:r>
      <w:r w:rsidR="009353ED">
        <w:rPr>
          <w:sz w:val="24"/>
          <w:szCs w:val="24"/>
        </w:rPr>
        <w:t xml:space="preserve"> - </w:t>
      </w:r>
      <w:r w:rsidR="00095342" w:rsidRPr="00095342">
        <w:rPr>
          <w:sz w:val="24"/>
          <w:szCs w:val="24"/>
        </w:rPr>
        <w:t>the circumstances in which people are born, grow, live, learn, work, and age, which are shaped by a set of forces beyond the control of the individual. They are ‘</w:t>
      </w:r>
      <w:r w:rsidR="00344093" w:rsidRPr="00095342">
        <w:rPr>
          <w:sz w:val="24"/>
          <w:szCs w:val="24"/>
        </w:rPr>
        <w:t>downstream</w:t>
      </w:r>
      <w:r w:rsidR="00EB08F6">
        <w:rPr>
          <w:sz w:val="24"/>
          <w:szCs w:val="24"/>
        </w:rPr>
        <w:t>’ from the structural d</w:t>
      </w:r>
      <w:r w:rsidR="00095342" w:rsidRPr="00095342">
        <w:rPr>
          <w:sz w:val="24"/>
          <w:szCs w:val="24"/>
        </w:rPr>
        <w:t xml:space="preserve">eterminants. They include the living and working conditions of people, such as their pay, access to housing, or medical care.  </w:t>
      </w:r>
    </w:p>
    <w:p w14:paraId="6F35BE58" w14:textId="77777777" w:rsidR="00611AA0" w:rsidRDefault="00611AA0" w:rsidP="00095342">
      <w:pPr>
        <w:spacing w:after="0"/>
        <w:rPr>
          <w:sz w:val="24"/>
          <w:szCs w:val="24"/>
        </w:rPr>
      </w:pPr>
    </w:p>
    <w:p w14:paraId="07B0EADC" w14:textId="77777777" w:rsidR="00095342" w:rsidRDefault="00095342" w:rsidP="00095342">
      <w:pPr>
        <w:spacing w:after="0"/>
        <w:rPr>
          <w:sz w:val="24"/>
          <w:szCs w:val="24"/>
        </w:rPr>
      </w:pPr>
    </w:p>
    <w:p w14:paraId="292E9D11" w14:textId="77777777" w:rsidR="005E4FF1" w:rsidRDefault="005E4FF1" w:rsidP="005E4FF1">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37F59570" wp14:editId="6372BBE2">
                <wp:simplePos x="0" y="0"/>
                <wp:positionH relativeFrom="margin">
                  <wp:align>left</wp:align>
                </wp:positionH>
                <wp:positionV relativeFrom="paragraph">
                  <wp:posOffset>-165100</wp:posOffset>
                </wp:positionV>
                <wp:extent cx="5962650" cy="97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971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268601" w14:textId="77777777" w:rsidR="005E4FF1" w:rsidRDefault="005E4FF1" w:rsidP="005E4FF1">
                            <w:pPr>
                              <w:jc w:val="center"/>
                              <w:rPr>
                                <w:b/>
                                <w:sz w:val="24"/>
                                <w:szCs w:val="24"/>
                              </w:rPr>
                            </w:pPr>
                            <w:r w:rsidRPr="005E4FF1">
                              <w:rPr>
                                <w:b/>
                                <w:sz w:val="24"/>
                                <w:szCs w:val="24"/>
                              </w:rPr>
                              <w:t>Structural Determinants of Health</w:t>
                            </w:r>
                          </w:p>
                          <w:p w14:paraId="6EEFC07B" w14:textId="77777777" w:rsidR="005E4FF1" w:rsidRDefault="005E4FF1" w:rsidP="005E4FF1">
                            <w:pPr>
                              <w:ind w:left="2160" w:hanging="1440"/>
                              <w:jc w:val="center"/>
                              <w:rPr>
                                <w:sz w:val="24"/>
                                <w:szCs w:val="24"/>
                              </w:rPr>
                            </w:pPr>
                            <w:r>
                              <w:rPr>
                                <w:sz w:val="24"/>
                                <w:szCs w:val="24"/>
                              </w:rPr>
                              <w:t>Colonialism</w:t>
                            </w:r>
                            <w:r>
                              <w:rPr>
                                <w:sz w:val="24"/>
                                <w:szCs w:val="24"/>
                              </w:rPr>
                              <w:tab/>
                              <w:t>Economic Policies</w:t>
                            </w:r>
                            <w:r>
                              <w:rPr>
                                <w:sz w:val="24"/>
                                <w:szCs w:val="24"/>
                              </w:rPr>
                              <w:tab/>
                              <w:t>Criminal Justice System</w:t>
                            </w:r>
                            <w:r>
                              <w:rPr>
                                <w:sz w:val="24"/>
                                <w:szCs w:val="24"/>
                              </w:rPr>
                              <w:tab/>
                              <w:t>Social Policies</w:t>
                            </w:r>
                          </w:p>
                          <w:p w14:paraId="7EB83301" w14:textId="77777777" w:rsidR="005E4FF1" w:rsidRDefault="005E4FF1" w:rsidP="005E4FF1">
                            <w:pPr>
                              <w:ind w:left="2160" w:hanging="1440"/>
                              <w:jc w:val="center"/>
                              <w:rPr>
                                <w:sz w:val="24"/>
                                <w:szCs w:val="24"/>
                              </w:rPr>
                            </w:pPr>
                            <w:r>
                              <w:rPr>
                                <w:sz w:val="24"/>
                                <w:szCs w:val="24"/>
                              </w:rPr>
                              <w:t>Governing Process</w:t>
                            </w:r>
                          </w:p>
                          <w:p w14:paraId="7B89A52C" w14:textId="77777777" w:rsidR="005E4FF1" w:rsidRPr="005E4FF1" w:rsidRDefault="005E4FF1" w:rsidP="005E4FF1">
                            <w:pPr>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F59570" id="Rectangle 1" o:spid="_x0000_s1026" style="position:absolute;margin-left:0;margin-top:-13pt;width:469.5pt;height:7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" fillcolor="white [3201]" strokecolor="#5b9bd5 [3204]" strokeweight="1pt">
                <v:textbox>
                  <w:txbxContent>
                    <w:p w14:paraId="66268601" w14:textId="77777777" w:rsidR="005E4FF1" w:rsidRDefault="005E4FF1" w:rsidP="005E4FF1">
                      <w:pPr>
                        <w:jc w:val="center"/>
                        <w:rPr>
                          <w:b/>
                          <w:sz w:val="24"/>
                          <w:szCs w:val="24"/>
                        </w:rPr>
                      </w:pPr>
                      <w:r w:rsidRPr="005E4FF1">
                        <w:rPr>
                          <w:b/>
                          <w:sz w:val="24"/>
                          <w:szCs w:val="24"/>
                        </w:rPr>
                        <w:t>Structural Determinants of Health</w:t>
                      </w:r>
                    </w:p>
                    <w:p w14:paraId="6EEFC07B" w14:textId="77777777" w:rsidR="005E4FF1" w:rsidRDefault="005E4FF1" w:rsidP="005E4FF1">
                      <w:pPr>
                        <w:ind w:left="2160" w:hanging="1440"/>
                        <w:jc w:val="center"/>
                        <w:rPr>
                          <w:sz w:val="24"/>
                          <w:szCs w:val="24"/>
                        </w:rPr>
                      </w:pPr>
                      <w:r>
                        <w:rPr>
                          <w:sz w:val="24"/>
                          <w:szCs w:val="24"/>
                        </w:rPr>
                        <w:t>Colonialism</w:t>
                      </w:r>
                      <w:r>
                        <w:rPr>
                          <w:sz w:val="24"/>
                          <w:szCs w:val="24"/>
                        </w:rPr>
                        <w:tab/>
                        <w:t>Economic Policies</w:t>
                      </w:r>
                      <w:r>
                        <w:rPr>
                          <w:sz w:val="24"/>
                          <w:szCs w:val="24"/>
                        </w:rPr>
                        <w:tab/>
                        <w:t>Criminal Justice System</w:t>
                      </w:r>
                      <w:r>
                        <w:rPr>
                          <w:sz w:val="24"/>
                          <w:szCs w:val="24"/>
                        </w:rPr>
                        <w:tab/>
                        <w:t>Social Policies</w:t>
                      </w:r>
                    </w:p>
                    <w:p w14:paraId="7EB83301" w14:textId="77777777" w:rsidR="005E4FF1" w:rsidRDefault="005E4FF1" w:rsidP="005E4FF1">
                      <w:pPr>
                        <w:ind w:left="2160" w:hanging="1440"/>
                        <w:jc w:val="center"/>
                        <w:rPr>
                          <w:sz w:val="24"/>
                          <w:szCs w:val="24"/>
                        </w:rPr>
                      </w:pPr>
                      <w:r>
                        <w:rPr>
                          <w:sz w:val="24"/>
                          <w:szCs w:val="24"/>
                        </w:rPr>
                        <w:t>Governing Process</w:t>
                      </w:r>
                    </w:p>
                    <w:p w14:paraId="7B89A52C" w14:textId="77777777" w:rsidR="005E4FF1" w:rsidRPr="005E4FF1" w:rsidRDefault="005E4FF1" w:rsidP="005E4FF1">
                      <w:pPr>
                        <w:rPr>
                          <w:sz w:val="24"/>
                          <w:szCs w:val="24"/>
                        </w:rPr>
                      </w:pPr>
                      <w:r>
                        <w:rPr>
                          <w:sz w:val="24"/>
                          <w:szCs w:val="24"/>
                        </w:rPr>
                        <w:tab/>
                      </w:r>
                    </w:p>
                  </w:txbxContent>
                </v:textbox>
                <w10:wrap anchorx="margin"/>
              </v:rect>
            </w:pict>
          </mc:Fallback>
        </mc:AlternateContent>
      </w:r>
    </w:p>
    <w:p w14:paraId="7C4C4FEB" w14:textId="77777777" w:rsidR="00095342" w:rsidRDefault="00095342" w:rsidP="00095342">
      <w:pPr>
        <w:spacing w:after="0"/>
        <w:rPr>
          <w:sz w:val="24"/>
          <w:szCs w:val="24"/>
        </w:rPr>
      </w:pPr>
    </w:p>
    <w:p w14:paraId="16A2D3CC" w14:textId="77777777" w:rsidR="00095342" w:rsidRDefault="00095342" w:rsidP="00095342">
      <w:pPr>
        <w:spacing w:after="0"/>
        <w:rPr>
          <w:sz w:val="24"/>
          <w:szCs w:val="24"/>
        </w:rPr>
      </w:pPr>
    </w:p>
    <w:p w14:paraId="7FA40276" w14:textId="77777777" w:rsidR="00095342" w:rsidRDefault="0005340A" w:rsidP="00095342">
      <w:pPr>
        <w:spacing w:after="0"/>
        <w:rPr>
          <w:sz w:val="24"/>
          <w:szCs w:val="24"/>
        </w:rPr>
      </w:pPr>
      <w:r>
        <w:rPr>
          <w:noProof/>
          <w:sz w:val="24"/>
          <w:szCs w:val="24"/>
        </w:rPr>
        <mc:AlternateContent>
          <mc:Choice Requires="wps">
            <w:drawing>
              <wp:anchor distT="0" distB="0" distL="114300" distR="114300" simplePos="0" relativeHeight="251666432" behindDoc="1" locked="0" layoutInCell="1" allowOverlap="1" wp14:anchorId="439EB0E8" wp14:editId="39F58C06">
                <wp:simplePos x="0" y="0"/>
                <wp:positionH relativeFrom="margin">
                  <wp:align>center</wp:align>
                </wp:positionH>
                <wp:positionV relativeFrom="paragraph">
                  <wp:posOffset>200025</wp:posOffset>
                </wp:positionV>
                <wp:extent cx="381000" cy="622300"/>
                <wp:effectExtent l="19050" t="0" r="19050" b="44450"/>
                <wp:wrapNone/>
                <wp:docPr id="8" name="Down Arrow 8"/>
                <wp:cNvGraphicFramePr/>
                <a:graphic xmlns:a="http://schemas.openxmlformats.org/drawingml/2006/main">
                  <a:graphicData uri="http://schemas.microsoft.com/office/word/2010/wordprocessingShape">
                    <wps:wsp>
                      <wps:cNvSpPr/>
                      <wps:spPr>
                        <a:xfrm>
                          <a:off x="0" y="0"/>
                          <a:ext cx="381000" cy="622300"/>
                        </a:xfrm>
                        <a:prstGeom prst="downArrow">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9C7F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0;margin-top:15.75pt;width:30pt;height:4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" adj="14988" fillcolor="#deeaf6 [660]" strokecolor="#deeaf6 [660]" strokeweight="1pt">
                <w10:wrap anchorx="margin"/>
              </v:shape>
            </w:pict>
          </mc:Fallback>
        </mc:AlternateContent>
      </w:r>
    </w:p>
    <w:p w14:paraId="51FF6266" w14:textId="77777777" w:rsidR="00095342" w:rsidRDefault="00095342" w:rsidP="005E4FF1">
      <w:pPr>
        <w:spacing w:after="0"/>
        <w:jc w:val="center"/>
        <w:rPr>
          <w:b/>
          <w:sz w:val="24"/>
          <w:szCs w:val="24"/>
        </w:rPr>
      </w:pPr>
    </w:p>
    <w:p w14:paraId="4D6ED4DF" w14:textId="77777777" w:rsidR="005E4FF1" w:rsidRPr="005E4FF1" w:rsidRDefault="005E4FF1" w:rsidP="005E4FF1">
      <w:pPr>
        <w:spacing w:after="0"/>
        <w:jc w:val="center"/>
        <w:rPr>
          <w:b/>
          <w:sz w:val="24"/>
          <w:szCs w:val="24"/>
        </w:rPr>
      </w:pPr>
      <w:r>
        <w:rPr>
          <w:b/>
          <w:sz w:val="24"/>
          <w:szCs w:val="24"/>
        </w:rPr>
        <w:t>ACT ON</w:t>
      </w:r>
    </w:p>
    <w:p w14:paraId="2FE9457B" w14:textId="77777777" w:rsidR="00095342" w:rsidRDefault="00095342" w:rsidP="00095342">
      <w:pPr>
        <w:spacing w:after="0"/>
        <w:rPr>
          <w:sz w:val="24"/>
          <w:szCs w:val="24"/>
        </w:rPr>
      </w:pPr>
    </w:p>
    <w:p w14:paraId="231B4AB0" w14:textId="77777777" w:rsidR="005E4FF1" w:rsidRDefault="005E4FF1" w:rsidP="00095342">
      <w:pPr>
        <w:spacing w:after="0"/>
        <w:rPr>
          <w:sz w:val="24"/>
          <w:szCs w:val="24"/>
        </w:rPr>
      </w:pPr>
    </w:p>
    <w:p w14:paraId="690D14F5" w14:textId="77777777" w:rsidR="005E4FF1" w:rsidRDefault="005E4FF1" w:rsidP="005E4FF1">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1C09908F" wp14:editId="35FB7147">
                <wp:simplePos x="0" y="0"/>
                <wp:positionH relativeFrom="margin">
                  <wp:align>left</wp:align>
                </wp:positionH>
                <wp:positionV relativeFrom="paragraph">
                  <wp:posOffset>-165100</wp:posOffset>
                </wp:positionV>
                <wp:extent cx="5962650" cy="971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62650" cy="971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F756CEB" w14:textId="77777777" w:rsidR="005E4FF1" w:rsidRDefault="005E4FF1" w:rsidP="005E4FF1">
                            <w:pPr>
                              <w:jc w:val="center"/>
                              <w:rPr>
                                <w:b/>
                                <w:sz w:val="24"/>
                                <w:szCs w:val="24"/>
                              </w:rPr>
                            </w:pPr>
                            <w:r>
                              <w:rPr>
                                <w:b/>
                                <w:sz w:val="24"/>
                                <w:szCs w:val="24"/>
                              </w:rPr>
                              <w:t>Intermediary Determinants of Health</w:t>
                            </w:r>
                          </w:p>
                          <w:p w14:paraId="26E01A7C" w14:textId="77777777" w:rsidR="002B75ED" w:rsidRDefault="005E4FF1" w:rsidP="005E4FF1">
                            <w:pPr>
                              <w:ind w:left="2160" w:hanging="1440"/>
                              <w:jc w:val="center"/>
                              <w:rPr>
                                <w:sz w:val="24"/>
                                <w:szCs w:val="24"/>
                              </w:rPr>
                            </w:pPr>
                            <w:r>
                              <w:rPr>
                                <w:sz w:val="24"/>
                                <w:szCs w:val="24"/>
                              </w:rPr>
                              <w:t>Housing</w:t>
                            </w:r>
                            <w:r>
                              <w:rPr>
                                <w:sz w:val="24"/>
                                <w:szCs w:val="24"/>
                              </w:rPr>
                              <w:tab/>
                              <w:t>Quality Education</w:t>
                            </w:r>
                            <w:r>
                              <w:rPr>
                                <w:sz w:val="24"/>
                                <w:szCs w:val="24"/>
                              </w:rPr>
                              <w:tab/>
                              <w:t>Food Security</w:t>
                            </w:r>
                            <w:r>
                              <w:rPr>
                                <w:sz w:val="24"/>
                                <w:szCs w:val="24"/>
                              </w:rPr>
                              <w:tab/>
                            </w:r>
                          </w:p>
                          <w:p w14:paraId="7E64D9D7" w14:textId="77777777" w:rsidR="005E4FF1" w:rsidRDefault="002B75ED" w:rsidP="005E4FF1">
                            <w:pPr>
                              <w:ind w:left="2160" w:hanging="1440"/>
                              <w:jc w:val="center"/>
                              <w:rPr>
                                <w:sz w:val="24"/>
                                <w:szCs w:val="24"/>
                              </w:rPr>
                            </w:pPr>
                            <w:r>
                              <w:rPr>
                                <w:sz w:val="24"/>
                                <w:szCs w:val="24"/>
                              </w:rPr>
                              <w:t>Income/working conditions</w:t>
                            </w:r>
                            <w:r>
                              <w:rPr>
                                <w:sz w:val="24"/>
                                <w:szCs w:val="24"/>
                              </w:rPr>
                              <w:tab/>
                              <w:t>Community Design</w:t>
                            </w:r>
                          </w:p>
                          <w:p w14:paraId="7E06024A" w14:textId="77777777" w:rsidR="005E4FF1" w:rsidRPr="005E4FF1" w:rsidRDefault="005E4FF1" w:rsidP="005E4FF1">
                            <w:pPr>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09908F" id="Rectangle 4" o:spid="_x0000_s1027" style="position:absolute;margin-left:0;margin-top:-13pt;width:469.5pt;height:7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" fillcolor="white [3201]" strokecolor="#5b9bd5 [3204]" strokeweight="1pt">
                <v:textbox>
                  <w:txbxContent>
                    <w:p w14:paraId="0F756CEB" w14:textId="77777777" w:rsidR="005E4FF1" w:rsidRDefault="005E4FF1" w:rsidP="005E4FF1">
                      <w:pPr>
                        <w:jc w:val="center"/>
                        <w:rPr>
                          <w:b/>
                          <w:sz w:val="24"/>
                          <w:szCs w:val="24"/>
                        </w:rPr>
                      </w:pPr>
                      <w:r>
                        <w:rPr>
                          <w:b/>
                          <w:sz w:val="24"/>
                          <w:szCs w:val="24"/>
                        </w:rPr>
                        <w:t>Intermediary Determinants of Health</w:t>
                      </w:r>
                    </w:p>
                    <w:p w14:paraId="26E01A7C" w14:textId="77777777" w:rsidR="002B75ED" w:rsidRDefault="005E4FF1" w:rsidP="005E4FF1">
                      <w:pPr>
                        <w:ind w:left="2160" w:hanging="1440"/>
                        <w:jc w:val="center"/>
                        <w:rPr>
                          <w:sz w:val="24"/>
                          <w:szCs w:val="24"/>
                        </w:rPr>
                      </w:pPr>
                      <w:r>
                        <w:rPr>
                          <w:sz w:val="24"/>
                          <w:szCs w:val="24"/>
                        </w:rPr>
                        <w:t>Housing</w:t>
                      </w:r>
                      <w:r>
                        <w:rPr>
                          <w:sz w:val="24"/>
                          <w:szCs w:val="24"/>
                        </w:rPr>
                        <w:tab/>
                        <w:t>Quality Education</w:t>
                      </w:r>
                      <w:r>
                        <w:rPr>
                          <w:sz w:val="24"/>
                          <w:szCs w:val="24"/>
                        </w:rPr>
                        <w:tab/>
                        <w:t>Food Security</w:t>
                      </w:r>
                      <w:r>
                        <w:rPr>
                          <w:sz w:val="24"/>
                          <w:szCs w:val="24"/>
                        </w:rPr>
                        <w:tab/>
                      </w:r>
                    </w:p>
                    <w:p w14:paraId="7E64D9D7" w14:textId="77777777" w:rsidR="005E4FF1" w:rsidRDefault="002B75ED" w:rsidP="005E4FF1">
                      <w:pPr>
                        <w:ind w:left="2160" w:hanging="1440"/>
                        <w:jc w:val="center"/>
                        <w:rPr>
                          <w:sz w:val="24"/>
                          <w:szCs w:val="24"/>
                        </w:rPr>
                      </w:pPr>
                      <w:r>
                        <w:rPr>
                          <w:sz w:val="24"/>
                          <w:szCs w:val="24"/>
                        </w:rPr>
                        <w:t>Income/working conditions</w:t>
                      </w:r>
                      <w:r>
                        <w:rPr>
                          <w:sz w:val="24"/>
                          <w:szCs w:val="24"/>
                        </w:rPr>
                        <w:tab/>
                        <w:t>Community Design</w:t>
                      </w:r>
                    </w:p>
                    <w:p w14:paraId="7E06024A" w14:textId="77777777" w:rsidR="005E4FF1" w:rsidRPr="005E4FF1" w:rsidRDefault="005E4FF1" w:rsidP="005E4FF1">
                      <w:pPr>
                        <w:rPr>
                          <w:sz w:val="24"/>
                          <w:szCs w:val="24"/>
                        </w:rPr>
                      </w:pPr>
                      <w:r>
                        <w:rPr>
                          <w:sz w:val="24"/>
                          <w:szCs w:val="24"/>
                        </w:rPr>
                        <w:tab/>
                      </w:r>
                    </w:p>
                  </w:txbxContent>
                </v:textbox>
                <w10:wrap anchorx="margin"/>
              </v:rect>
            </w:pict>
          </mc:Fallback>
        </mc:AlternateContent>
      </w:r>
    </w:p>
    <w:p w14:paraId="35E9DEBC" w14:textId="77777777" w:rsidR="00095342" w:rsidRDefault="00095342" w:rsidP="00F57CE2">
      <w:pPr>
        <w:spacing w:after="0"/>
        <w:rPr>
          <w:sz w:val="24"/>
          <w:szCs w:val="24"/>
        </w:rPr>
      </w:pPr>
    </w:p>
    <w:p w14:paraId="6812A311" w14:textId="77777777" w:rsidR="005E4FF1" w:rsidRDefault="005E4FF1" w:rsidP="00F57CE2">
      <w:pPr>
        <w:spacing w:after="0"/>
        <w:rPr>
          <w:sz w:val="24"/>
          <w:szCs w:val="24"/>
        </w:rPr>
      </w:pPr>
    </w:p>
    <w:p w14:paraId="2E06BC09" w14:textId="77777777" w:rsidR="005E4FF1" w:rsidRDefault="005E4FF1" w:rsidP="00F57CE2">
      <w:pPr>
        <w:spacing w:after="0"/>
        <w:rPr>
          <w:sz w:val="24"/>
          <w:szCs w:val="24"/>
        </w:rPr>
      </w:pPr>
    </w:p>
    <w:p w14:paraId="53687E95" w14:textId="77777777" w:rsidR="005E4FF1" w:rsidRDefault="0005340A" w:rsidP="00F57CE2">
      <w:pPr>
        <w:spacing w:after="0"/>
        <w:rPr>
          <w:sz w:val="24"/>
          <w:szCs w:val="24"/>
        </w:rPr>
      </w:pPr>
      <w:r>
        <w:rPr>
          <w:noProof/>
          <w:sz w:val="24"/>
          <w:szCs w:val="24"/>
        </w:rPr>
        <mc:AlternateContent>
          <mc:Choice Requires="wps">
            <w:drawing>
              <wp:anchor distT="0" distB="0" distL="114300" distR="114300" simplePos="0" relativeHeight="251668480" behindDoc="1" locked="0" layoutInCell="1" allowOverlap="1" wp14:anchorId="0A357488" wp14:editId="3FC440AD">
                <wp:simplePos x="0" y="0"/>
                <wp:positionH relativeFrom="margin">
                  <wp:align>center</wp:align>
                </wp:positionH>
                <wp:positionV relativeFrom="paragraph">
                  <wp:posOffset>44450</wp:posOffset>
                </wp:positionV>
                <wp:extent cx="381000" cy="565150"/>
                <wp:effectExtent l="19050" t="0" r="19050" b="44450"/>
                <wp:wrapNone/>
                <wp:docPr id="9" name="Down Arrow 9"/>
                <wp:cNvGraphicFramePr/>
                <a:graphic xmlns:a="http://schemas.openxmlformats.org/drawingml/2006/main">
                  <a:graphicData uri="http://schemas.microsoft.com/office/word/2010/wordprocessingShape">
                    <wps:wsp>
                      <wps:cNvSpPr/>
                      <wps:spPr>
                        <a:xfrm>
                          <a:off x="0" y="0"/>
                          <a:ext cx="381000" cy="565150"/>
                        </a:xfrm>
                        <a:prstGeom prst="downArrow">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B676CC" id="Down Arrow 9" o:spid="_x0000_s1026" type="#_x0000_t67" style="position:absolute;margin-left:0;margin-top:3.5pt;width:30pt;height:44.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" adj="14319" fillcolor="#deeaf6 [660]" strokecolor="#deeaf6 [660]" strokeweight="1pt">
                <w10:wrap anchorx="margin"/>
              </v:shape>
            </w:pict>
          </mc:Fallback>
        </mc:AlternateContent>
      </w:r>
    </w:p>
    <w:p w14:paraId="6ACD07BF" w14:textId="77777777" w:rsidR="005E4FF1" w:rsidRDefault="002B75ED" w:rsidP="002B75ED">
      <w:pPr>
        <w:spacing w:after="0"/>
        <w:jc w:val="center"/>
        <w:rPr>
          <w:b/>
          <w:sz w:val="24"/>
          <w:szCs w:val="24"/>
        </w:rPr>
      </w:pPr>
      <w:r>
        <w:rPr>
          <w:b/>
          <w:sz w:val="24"/>
          <w:szCs w:val="24"/>
        </w:rPr>
        <w:t>LEADING TO</w:t>
      </w:r>
    </w:p>
    <w:p w14:paraId="56AF209F" w14:textId="77777777" w:rsidR="002B75ED" w:rsidRDefault="002B75ED" w:rsidP="002B75ED">
      <w:pPr>
        <w:spacing w:after="0"/>
        <w:jc w:val="center"/>
        <w:rPr>
          <w:b/>
          <w:sz w:val="24"/>
          <w:szCs w:val="24"/>
        </w:rPr>
      </w:pPr>
    </w:p>
    <w:p w14:paraId="178365E1" w14:textId="77777777" w:rsidR="002B75ED" w:rsidRDefault="0005340A" w:rsidP="002B75ED">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4379C53D" wp14:editId="31908E53">
                <wp:simplePos x="0" y="0"/>
                <wp:positionH relativeFrom="margin">
                  <wp:align>left</wp:align>
                </wp:positionH>
                <wp:positionV relativeFrom="paragraph">
                  <wp:posOffset>5715</wp:posOffset>
                </wp:positionV>
                <wp:extent cx="5962650" cy="971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62650" cy="971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EA850C" w14:textId="77777777" w:rsidR="002B75ED" w:rsidRPr="005E4FF1" w:rsidRDefault="002B75ED" w:rsidP="002B75ED">
                            <w:pPr>
                              <w:ind w:left="2160" w:hanging="1440"/>
                              <w:jc w:val="center"/>
                              <w:rPr>
                                <w:sz w:val="24"/>
                                <w:szCs w:val="24"/>
                              </w:rPr>
                            </w:pPr>
                            <w:r>
                              <w:rPr>
                                <w:sz w:val="24"/>
                                <w:szCs w:val="24"/>
                              </w:rPr>
                              <w:t>Stigma</w:t>
                            </w:r>
                            <w:r>
                              <w:rPr>
                                <w:sz w:val="24"/>
                                <w:szCs w:val="24"/>
                              </w:rPr>
                              <w:tab/>
                              <w:t>Inequity</w:t>
                            </w:r>
                            <w:r>
                              <w:rPr>
                                <w:sz w:val="24"/>
                                <w:szCs w:val="24"/>
                              </w:rPr>
                              <w:tab/>
                              <w:t>Poorer health outcomes</w:t>
                            </w:r>
                            <w:r>
                              <w:rPr>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79C53D" id="Rectangle 6" o:spid="_x0000_s1028" style="position:absolute;margin-left:0;margin-top:.45pt;width:469.5pt;height:76.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" fillcolor="white [3201]" strokecolor="#5b9bd5 [3204]" strokeweight="1pt">
                <v:textbox>
                  <w:txbxContent>
                    <w:p w14:paraId="66EA850C" w14:textId="77777777" w:rsidR="002B75ED" w:rsidRPr="005E4FF1" w:rsidRDefault="002B75ED" w:rsidP="002B75ED">
                      <w:pPr>
                        <w:ind w:left="2160" w:hanging="1440"/>
                        <w:jc w:val="center"/>
                        <w:rPr>
                          <w:sz w:val="24"/>
                          <w:szCs w:val="24"/>
                        </w:rPr>
                      </w:pPr>
                      <w:r>
                        <w:rPr>
                          <w:sz w:val="24"/>
                          <w:szCs w:val="24"/>
                        </w:rPr>
                        <w:t>Stigma</w:t>
                      </w:r>
                      <w:r>
                        <w:rPr>
                          <w:sz w:val="24"/>
                          <w:szCs w:val="24"/>
                        </w:rPr>
                        <w:tab/>
                        <w:t>Inequity</w:t>
                      </w:r>
                      <w:r>
                        <w:rPr>
                          <w:sz w:val="24"/>
                          <w:szCs w:val="24"/>
                        </w:rPr>
                        <w:tab/>
                        <w:t>Poorer health outcomes</w:t>
                      </w:r>
                      <w:r>
                        <w:rPr>
                          <w:sz w:val="24"/>
                          <w:szCs w:val="24"/>
                        </w:rPr>
                        <w:tab/>
                      </w:r>
                    </w:p>
                  </w:txbxContent>
                </v:textbox>
                <w10:wrap anchorx="margin"/>
              </v:rect>
            </w:pict>
          </mc:Fallback>
        </mc:AlternateContent>
      </w:r>
    </w:p>
    <w:p w14:paraId="26E834B8" w14:textId="77777777" w:rsidR="002B75ED" w:rsidRPr="002B75ED" w:rsidRDefault="002B75ED" w:rsidP="002B75ED">
      <w:pPr>
        <w:spacing w:after="0"/>
        <w:rPr>
          <w:b/>
          <w:sz w:val="24"/>
          <w:szCs w:val="24"/>
        </w:rPr>
      </w:pPr>
    </w:p>
    <w:p w14:paraId="353B315D" w14:textId="77777777" w:rsidR="002B75ED" w:rsidRDefault="002B75ED" w:rsidP="00F57CE2">
      <w:pPr>
        <w:spacing w:after="0"/>
        <w:rPr>
          <w:sz w:val="24"/>
          <w:szCs w:val="24"/>
        </w:rPr>
      </w:pPr>
    </w:p>
    <w:p w14:paraId="3AE1914E" w14:textId="77777777" w:rsidR="002B75ED" w:rsidRDefault="002B75ED" w:rsidP="00F57CE2">
      <w:pPr>
        <w:spacing w:after="0"/>
        <w:rPr>
          <w:sz w:val="24"/>
          <w:szCs w:val="24"/>
        </w:rPr>
      </w:pPr>
    </w:p>
    <w:p w14:paraId="7A9032FA" w14:textId="77777777" w:rsidR="002B75ED" w:rsidRDefault="00D0430C" w:rsidP="00F57CE2">
      <w:pPr>
        <w:spacing w:after="0"/>
        <w:rPr>
          <w:sz w:val="24"/>
          <w:szCs w:val="24"/>
        </w:rPr>
      </w:pPr>
      <w:r>
        <w:rPr>
          <w:noProof/>
          <w:sz w:val="24"/>
          <w:szCs w:val="24"/>
        </w:rPr>
        <mc:AlternateContent>
          <mc:Choice Requires="wps">
            <w:drawing>
              <wp:anchor distT="0" distB="0" distL="114300" distR="114300" simplePos="0" relativeHeight="251670528" behindDoc="1" locked="0" layoutInCell="1" allowOverlap="1" wp14:anchorId="0F9BFE00" wp14:editId="6E6BFD98">
                <wp:simplePos x="0" y="0"/>
                <wp:positionH relativeFrom="margin">
                  <wp:posOffset>2781300</wp:posOffset>
                </wp:positionH>
                <wp:positionV relativeFrom="paragraph">
                  <wp:posOffset>175895</wp:posOffset>
                </wp:positionV>
                <wp:extent cx="381000" cy="622300"/>
                <wp:effectExtent l="19050" t="0" r="19050" b="44450"/>
                <wp:wrapNone/>
                <wp:docPr id="10" name="Down Arrow 10"/>
                <wp:cNvGraphicFramePr/>
                <a:graphic xmlns:a="http://schemas.openxmlformats.org/drawingml/2006/main">
                  <a:graphicData uri="http://schemas.microsoft.com/office/word/2010/wordprocessingShape">
                    <wps:wsp>
                      <wps:cNvSpPr/>
                      <wps:spPr>
                        <a:xfrm>
                          <a:off x="0" y="0"/>
                          <a:ext cx="381000" cy="622300"/>
                        </a:xfrm>
                        <a:prstGeom prst="downArrow">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EA3320" id="Down Arrow 10" o:spid="_x0000_s1026" type="#_x0000_t67" style="position:absolute;margin-left:219pt;margin-top:13.85pt;width:30pt;height:4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" adj="14988" fillcolor="#deeaf6 [660]" strokecolor="#deeaf6 [660]" strokeweight="1pt">
                <w10:wrap anchorx="margin"/>
              </v:shape>
            </w:pict>
          </mc:Fallback>
        </mc:AlternateContent>
      </w:r>
    </w:p>
    <w:p w14:paraId="09009244" w14:textId="77777777" w:rsidR="002B75ED" w:rsidRPr="002B75ED" w:rsidRDefault="002B75ED" w:rsidP="002B75ED">
      <w:pPr>
        <w:spacing w:after="0"/>
        <w:jc w:val="center"/>
        <w:rPr>
          <w:b/>
          <w:sz w:val="24"/>
          <w:szCs w:val="24"/>
        </w:rPr>
      </w:pPr>
      <w:r>
        <w:rPr>
          <w:b/>
          <w:sz w:val="24"/>
          <w:szCs w:val="24"/>
        </w:rPr>
        <w:t>AFFECTING</w:t>
      </w:r>
    </w:p>
    <w:p w14:paraId="75F7EE7A" w14:textId="77777777" w:rsidR="005E4FF1" w:rsidRDefault="005E4FF1" w:rsidP="00F57CE2">
      <w:pPr>
        <w:spacing w:after="0"/>
        <w:rPr>
          <w:sz w:val="24"/>
          <w:szCs w:val="24"/>
        </w:rPr>
      </w:pPr>
    </w:p>
    <w:p w14:paraId="4384ABDE" w14:textId="77777777" w:rsidR="002B75ED" w:rsidRDefault="002B75ED" w:rsidP="00F57CE2">
      <w:pPr>
        <w:spacing w:after="0"/>
        <w:rPr>
          <w:sz w:val="24"/>
          <w:szCs w:val="24"/>
        </w:rPr>
      </w:pPr>
    </w:p>
    <w:p w14:paraId="53C22CB4" w14:textId="77777777" w:rsidR="002B75ED" w:rsidRDefault="00D0430C" w:rsidP="00F57CE2">
      <w:pPr>
        <w:spacing w:after="0"/>
        <w:rPr>
          <w:sz w:val="24"/>
          <w:szCs w:val="24"/>
        </w:rPr>
      </w:pPr>
      <w:r>
        <w:rPr>
          <w:noProof/>
          <w:sz w:val="24"/>
          <w:szCs w:val="24"/>
        </w:rPr>
        <mc:AlternateContent>
          <mc:Choice Requires="wps">
            <w:drawing>
              <wp:anchor distT="0" distB="0" distL="114300" distR="114300" simplePos="0" relativeHeight="251665408" behindDoc="0" locked="0" layoutInCell="1" allowOverlap="1" wp14:anchorId="11B0E5D7" wp14:editId="4A6E1ADC">
                <wp:simplePos x="0" y="0"/>
                <wp:positionH relativeFrom="margin">
                  <wp:align>left</wp:align>
                </wp:positionH>
                <wp:positionV relativeFrom="paragraph">
                  <wp:posOffset>8255</wp:posOffset>
                </wp:positionV>
                <wp:extent cx="5962650" cy="971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962650" cy="971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BEAB3D8" w14:textId="77777777" w:rsidR="002B75ED" w:rsidRDefault="002B75ED" w:rsidP="002B75ED">
                            <w:pPr>
                              <w:jc w:val="center"/>
                              <w:rPr>
                                <w:b/>
                                <w:sz w:val="24"/>
                                <w:szCs w:val="24"/>
                              </w:rPr>
                            </w:pPr>
                            <w:r>
                              <w:rPr>
                                <w:b/>
                                <w:sz w:val="24"/>
                                <w:szCs w:val="24"/>
                              </w:rPr>
                              <w:t>Populations disproportionately including</w:t>
                            </w:r>
                            <w:r w:rsidR="00D0430C">
                              <w:rPr>
                                <w:b/>
                                <w:sz w:val="24"/>
                                <w:szCs w:val="24"/>
                              </w:rPr>
                              <w:t xml:space="preserve"> individuals who identify as</w:t>
                            </w:r>
                          </w:p>
                          <w:p w14:paraId="0602301A" w14:textId="77777777" w:rsidR="002B75ED" w:rsidRDefault="00D0430C" w:rsidP="002B75ED">
                            <w:pPr>
                              <w:ind w:left="2160" w:hanging="1440"/>
                              <w:jc w:val="center"/>
                              <w:rPr>
                                <w:sz w:val="24"/>
                                <w:szCs w:val="24"/>
                              </w:rPr>
                            </w:pPr>
                            <w:r>
                              <w:rPr>
                                <w:sz w:val="24"/>
                                <w:szCs w:val="24"/>
                              </w:rPr>
                              <w:t xml:space="preserve">Living with </w:t>
                            </w:r>
                            <w:r w:rsidR="002B75ED">
                              <w:rPr>
                                <w:sz w:val="24"/>
                                <w:szCs w:val="24"/>
                              </w:rPr>
                              <w:t>Disability</w:t>
                            </w:r>
                            <w:r w:rsidR="002B75ED">
                              <w:rPr>
                                <w:sz w:val="24"/>
                                <w:szCs w:val="24"/>
                              </w:rPr>
                              <w:tab/>
                              <w:t>Indigenous</w:t>
                            </w:r>
                            <w:r w:rsidR="002B75ED">
                              <w:rPr>
                                <w:sz w:val="24"/>
                                <w:szCs w:val="24"/>
                              </w:rPr>
                              <w:tab/>
                              <w:t>Racialized</w:t>
                            </w:r>
                            <w:r w:rsidR="002B75ED">
                              <w:rPr>
                                <w:sz w:val="24"/>
                                <w:szCs w:val="24"/>
                              </w:rPr>
                              <w:tab/>
                              <w:t>Immigrant</w:t>
                            </w:r>
                            <w:r w:rsidR="002B75ED">
                              <w:rPr>
                                <w:sz w:val="24"/>
                                <w:szCs w:val="24"/>
                              </w:rPr>
                              <w:tab/>
                              <w:t>LGBTQ2+</w:t>
                            </w:r>
                          </w:p>
                          <w:p w14:paraId="1CFC05A0" w14:textId="77777777" w:rsidR="002B75ED" w:rsidRDefault="00D0430C" w:rsidP="002B75ED">
                            <w:pPr>
                              <w:ind w:left="2160" w:hanging="1440"/>
                              <w:jc w:val="center"/>
                              <w:rPr>
                                <w:sz w:val="24"/>
                                <w:szCs w:val="24"/>
                              </w:rPr>
                            </w:pPr>
                            <w:r>
                              <w:rPr>
                                <w:sz w:val="24"/>
                                <w:szCs w:val="24"/>
                              </w:rPr>
                              <w:t>Living in r</w:t>
                            </w:r>
                            <w:r w:rsidR="002B75ED">
                              <w:rPr>
                                <w:sz w:val="24"/>
                                <w:szCs w:val="24"/>
                              </w:rPr>
                              <w:t>ural</w:t>
                            </w:r>
                            <w:r>
                              <w:rPr>
                                <w:sz w:val="24"/>
                                <w:szCs w:val="24"/>
                              </w:rPr>
                              <w:t xml:space="preserve"> communities</w:t>
                            </w:r>
                            <w:r w:rsidR="002B75ED">
                              <w:rPr>
                                <w:sz w:val="24"/>
                                <w:szCs w:val="24"/>
                              </w:rPr>
                              <w:t xml:space="preserve">   </w:t>
                            </w:r>
                            <w:r w:rsidR="00105B93">
                              <w:rPr>
                                <w:sz w:val="24"/>
                                <w:szCs w:val="24"/>
                              </w:rPr>
                              <w:tab/>
                              <w:t>Non-resident status</w:t>
                            </w:r>
                            <w:r w:rsidR="00105B93">
                              <w:rPr>
                                <w:sz w:val="24"/>
                                <w:szCs w:val="24"/>
                              </w:rPr>
                              <w:tab/>
                              <w:t>Seniors</w:t>
                            </w:r>
                            <w:r w:rsidR="002B75ED">
                              <w:rPr>
                                <w:sz w:val="24"/>
                                <w:szCs w:val="24"/>
                              </w:rPr>
                              <w:tab/>
                            </w:r>
                          </w:p>
                          <w:p w14:paraId="0B709D1A" w14:textId="77777777" w:rsidR="002B75ED" w:rsidRPr="005E4FF1" w:rsidRDefault="002B75ED" w:rsidP="002B75ED">
                            <w:pPr>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B0E5D7" id="Rectangle 7" o:spid="_x0000_s1029" style="position:absolute;margin-left:0;margin-top:.65pt;width:469.5pt;height:76.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" fillcolor="white [3201]" strokecolor="#5b9bd5 [3204]" strokeweight="1pt">
                <v:textbox>
                  <w:txbxContent>
                    <w:p w14:paraId="4BEAB3D8" w14:textId="77777777" w:rsidR="002B75ED" w:rsidRDefault="002B75ED" w:rsidP="002B75ED">
                      <w:pPr>
                        <w:jc w:val="center"/>
                        <w:rPr>
                          <w:b/>
                          <w:sz w:val="24"/>
                          <w:szCs w:val="24"/>
                        </w:rPr>
                      </w:pPr>
                      <w:r>
                        <w:rPr>
                          <w:b/>
                          <w:sz w:val="24"/>
                          <w:szCs w:val="24"/>
                        </w:rPr>
                        <w:t>Populations disproportionately including</w:t>
                      </w:r>
                      <w:r w:rsidR="00D0430C">
                        <w:rPr>
                          <w:b/>
                          <w:sz w:val="24"/>
                          <w:szCs w:val="24"/>
                        </w:rPr>
                        <w:t xml:space="preserve"> individuals who identify as</w:t>
                      </w:r>
                    </w:p>
                    <w:p w14:paraId="0602301A" w14:textId="77777777" w:rsidR="002B75ED" w:rsidRDefault="00D0430C" w:rsidP="002B75ED">
                      <w:pPr>
                        <w:ind w:left="2160" w:hanging="1440"/>
                        <w:jc w:val="center"/>
                        <w:rPr>
                          <w:sz w:val="24"/>
                          <w:szCs w:val="24"/>
                        </w:rPr>
                      </w:pPr>
                      <w:r>
                        <w:rPr>
                          <w:sz w:val="24"/>
                          <w:szCs w:val="24"/>
                        </w:rPr>
                        <w:t xml:space="preserve">Living with </w:t>
                      </w:r>
                      <w:r w:rsidR="002B75ED">
                        <w:rPr>
                          <w:sz w:val="24"/>
                          <w:szCs w:val="24"/>
                        </w:rPr>
                        <w:t>Disability</w:t>
                      </w:r>
                      <w:r w:rsidR="002B75ED">
                        <w:rPr>
                          <w:sz w:val="24"/>
                          <w:szCs w:val="24"/>
                        </w:rPr>
                        <w:tab/>
                        <w:t>Indigenous</w:t>
                      </w:r>
                      <w:r w:rsidR="002B75ED">
                        <w:rPr>
                          <w:sz w:val="24"/>
                          <w:szCs w:val="24"/>
                        </w:rPr>
                        <w:tab/>
                        <w:t>Racialized</w:t>
                      </w:r>
                      <w:r w:rsidR="002B75ED">
                        <w:rPr>
                          <w:sz w:val="24"/>
                          <w:szCs w:val="24"/>
                        </w:rPr>
                        <w:tab/>
                        <w:t>Immigrant</w:t>
                      </w:r>
                      <w:r w:rsidR="002B75ED">
                        <w:rPr>
                          <w:sz w:val="24"/>
                          <w:szCs w:val="24"/>
                        </w:rPr>
                        <w:tab/>
                        <w:t>LGBTQ2+</w:t>
                      </w:r>
                    </w:p>
                    <w:p w14:paraId="1CFC05A0" w14:textId="77777777" w:rsidR="002B75ED" w:rsidRDefault="00D0430C" w:rsidP="002B75ED">
                      <w:pPr>
                        <w:ind w:left="2160" w:hanging="1440"/>
                        <w:jc w:val="center"/>
                        <w:rPr>
                          <w:sz w:val="24"/>
                          <w:szCs w:val="24"/>
                        </w:rPr>
                      </w:pPr>
                      <w:r>
                        <w:rPr>
                          <w:sz w:val="24"/>
                          <w:szCs w:val="24"/>
                        </w:rPr>
                        <w:t>Living in r</w:t>
                      </w:r>
                      <w:r w:rsidR="002B75ED">
                        <w:rPr>
                          <w:sz w:val="24"/>
                          <w:szCs w:val="24"/>
                        </w:rPr>
                        <w:t>ural</w:t>
                      </w:r>
                      <w:r>
                        <w:rPr>
                          <w:sz w:val="24"/>
                          <w:szCs w:val="24"/>
                        </w:rPr>
                        <w:t xml:space="preserve"> communities</w:t>
                      </w:r>
                      <w:r w:rsidR="002B75ED">
                        <w:rPr>
                          <w:sz w:val="24"/>
                          <w:szCs w:val="24"/>
                        </w:rPr>
                        <w:t xml:space="preserve">   </w:t>
                      </w:r>
                      <w:r w:rsidR="00105B93">
                        <w:rPr>
                          <w:sz w:val="24"/>
                          <w:szCs w:val="24"/>
                        </w:rPr>
                        <w:tab/>
                        <w:t>Non-resident status</w:t>
                      </w:r>
                      <w:r w:rsidR="00105B93">
                        <w:rPr>
                          <w:sz w:val="24"/>
                          <w:szCs w:val="24"/>
                        </w:rPr>
                        <w:tab/>
                      </w:r>
                      <w:proofErr w:type="gramStart"/>
                      <w:r w:rsidR="00105B93">
                        <w:rPr>
                          <w:sz w:val="24"/>
                          <w:szCs w:val="24"/>
                        </w:rPr>
                        <w:t>Seniors</w:t>
                      </w:r>
                      <w:proofErr w:type="gramEnd"/>
                      <w:r w:rsidR="002B75ED">
                        <w:rPr>
                          <w:sz w:val="24"/>
                          <w:szCs w:val="24"/>
                        </w:rPr>
                        <w:tab/>
                      </w:r>
                    </w:p>
                    <w:p w14:paraId="0B709D1A" w14:textId="77777777" w:rsidR="002B75ED" w:rsidRPr="005E4FF1" w:rsidRDefault="002B75ED" w:rsidP="002B75ED">
                      <w:pPr>
                        <w:rPr>
                          <w:sz w:val="24"/>
                          <w:szCs w:val="24"/>
                        </w:rPr>
                      </w:pPr>
                      <w:r>
                        <w:rPr>
                          <w:sz w:val="24"/>
                          <w:szCs w:val="24"/>
                        </w:rPr>
                        <w:tab/>
                      </w:r>
                    </w:p>
                  </w:txbxContent>
                </v:textbox>
                <w10:wrap anchorx="margin"/>
              </v:rect>
            </w:pict>
          </mc:Fallback>
        </mc:AlternateContent>
      </w:r>
    </w:p>
    <w:p w14:paraId="5B39D30D" w14:textId="77777777" w:rsidR="002B75ED" w:rsidRDefault="002B75ED" w:rsidP="00F57CE2">
      <w:pPr>
        <w:spacing w:after="0"/>
        <w:rPr>
          <w:sz w:val="24"/>
          <w:szCs w:val="24"/>
        </w:rPr>
      </w:pPr>
    </w:p>
    <w:p w14:paraId="54627582" w14:textId="77777777" w:rsidR="002B75ED" w:rsidRDefault="002B75ED" w:rsidP="00F57CE2">
      <w:pPr>
        <w:spacing w:after="0"/>
        <w:rPr>
          <w:sz w:val="24"/>
          <w:szCs w:val="24"/>
        </w:rPr>
      </w:pPr>
    </w:p>
    <w:p w14:paraId="6042E99F" w14:textId="77777777" w:rsidR="005E4FF1" w:rsidRDefault="005E4FF1" w:rsidP="00F57CE2">
      <w:pPr>
        <w:spacing w:after="0"/>
        <w:rPr>
          <w:sz w:val="24"/>
          <w:szCs w:val="24"/>
        </w:rPr>
      </w:pPr>
    </w:p>
    <w:p w14:paraId="02095A19" w14:textId="77777777" w:rsidR="002B75ED" w:rsidRDefault="002B75ED" w:rsidP="00F57CE2">
      <w:pPr>
        <w:spacing w:after="0"/>
        <w:rPr>
          <w:sz w:val="24"/>
          <w:szCs w:val="24"/>
        </w:rPr>
      </w:pPr>
    </w:p>
    <w:p w14:paraId="3BD222AF" w14:textId="77777777" w:rsidR="002B75ED" w:rsidRDefault="002B75ED" w:rsidP="00F57CE2">
      <w:pPr>
        <w:spacing w:after="0"/>
        <w:rPr>
          <w:sz w:val="24"/>
          <w:szCs w:val="24"/>
        </w:rPr>
      </w:pPr>
    </w:p>
    <w:p w14:paraId="078976DC" w14:textId="0697135B" w:rsidR="00625261" w:rsidRDefault="00A33F53" w:rsidP="00F57CE2">
      <w:pPr>
        <w:spacing w:after="0"/>
        <w:rPr>
          <w:b/>
          <w:sz w:val="24"/>
          <w:szCs w:val="24"/>
        </w:rPr>
      </w:pPr>
      <w:r w:rsidRPr="00A33F53">
        <w:rPr>
          <w:b/>
          <w:sz w:val="24"/>
          <w:szCs w:val="24"/>
        </w:rPr>
        <w:t>Scan</w:t>
      </w:r>
    </w:p>
    <w:p w14:paraId="6C6543DA" w14:textId="7EA84E5E" w:rsidR="006B42FE" w:rsidRDefault="00A33F53" w:rsidP="00A33F53">
      <w:pPr>
        <w:spacing w:after="0"/>
        <w:rPr>
          <w:sz w:val="24"/>
          <w:szCs w:val="24"/>
        </w:rPr>
      </w:pPr>
      <w:r>
        <w:rPr>
          <w:sz w:val="24"/>
          <w:szCs w:val="24"/>
        </w:rPr>
        <w:t>W</w:t>
      </w:r>
      <w:r w:rsidR="00F21793">
        <w:rPr>
          <w:sz w:val="24"/>
          <w:szCs w:val="24"/>
        </w:rPr>
        <w:t>hen reviewing</w:t>
      </w:r>
      <w:r>
        <w:rPr>
          <w:sz w:val="24"/>
          <w:szCs w:val="24"/>
        </w:rPr>
        <w:t xml:space="preserve"> information on the structural determina</w:t>
      </w:r>
      <w:r w:rsidR="00D0430C">
        <w:rPr>
          <w:sz w:val="24"/>
          <w:szCs w:val="24"/>
        </w:rPr>
        <w:t xml:space="preserve">nts of health it was noted that </w:t>
      </w:r>
      <w:r w:rsidR="008762AC">
        <w:rPr>
          <w:sz w:val="24"/>
          <w:szCs w:val="24"/>
        </w:rPr>
        <w:t>using the school setting</w:t>
      </w:r>
      <w:r>
        <w:rPr>
          <w:sz w:val="24"/>
          <w:szCs w:val="24"/>
        </w:rPr>
        <w:t xml:space="preserve"> </w:t>
      </w:r>
      <w:r w:rsidR="008762AC">
        <w:rPr>
          <w:sz w:val="24"/>
          <w:szCs w:val="24"/>
        </w:rPr>
        <w:t xml:space="preserve">as </w:t>
      </w:r>
      <w:r>
        <w:rPr>
          <w:sz w:val="24"/>
          <w:szCs w:val="24"/>
        </w:rPr>
        <w:t xml:space="preserve">an avenue to address </w:t>
      </w:r>
      <w:r w:rsidR="00F21793">
        <w:rPr>
          <w:sz w:val="24"/>
          <w:szCs w:val="24"/>
        </w:rPr>
        <w:t>the structur</w:t>
      </w:r>
      <w:r w:rsidR="008762AC">
        <w:rPr>
          <w:sz w:val="24"/>
          <w:szCs w:val="24"/>
        </w:rPr>
        <w:t>al determinants may</w:t>
      </w:r>
      <w:r w:rsidR="00D0430C">
        <w:rPr>
          <w:sz w:val="24"/>
          <w:szCs w:val="24"/>
        </w:rPr>
        <w:t xml:space="preserve"> not be effective.  Schools</w:t>
      </w:r>
      <w:r w:rsidR="00F21793">
        <w:rPr>
          <w:sz w:val="24"/>
          <w:szCs w:val="24"/>
        </w:rPr>
        <w:t xml:space="preserve"> have little </w:t>
      </w:r>
      <w:r w:rsidR="00D0430C">
        <w:rPr>
          <w:sz w:val="24"/>
          <w:szCs w:val="24"/>
        </w:rPr>
        <w:t>control</w:t>
      </w:r>
      <w:r w:rsidR="00F21793">
        <w:rPr>
          <w:sz w:val="24"/>
          <w:szCs w:val="24"/>
        </w:rPr>
        <w:t xml:space="preserve"> over structures that affect </w:t>
      </w:r>
      <w:r w:rsidR="00EA3C4D">
        <w:rPr>
          <w:sz w:val="24"/>
          <w:szCs w:val="24"/>
        </w:rPr>
        <w:t xml:space="preserve">the </w:t>
      </w:r>
      <w:r w:rsidR="00F21793">
        <w:rPr>
          <w:sz w:val="24"/>
          <w:szCs w:val="24"/>
        </w:rPr>
        <w:t>health</w:t>
      </w:r>
      <w:r w:rsidR="00B74265">
        <w:rPr>
          <w:sz w:val="24"/>
          <w:szCs w:val="24"/>
        </w:rPr>
        <w:t xml:space="preserve"> of the school community because </w:t>
      </w:r>
      <w:r w:rsidR="00F21793">
        <w:rPr>
          <w:sz w:val="24"/>
          <w:szCs w:val="24"/>
        </w:rPr>
        <w:t xml:space="preserve">families are impacted by structures outside of school.  </w:t>
      </w:r>
      <w:r w:rsidR="00D0430C">
        <w:rPr>
          <w:sz w:val="24"/>
          <w:szCs w:val="24"/>
        </w:rPr>
        <w:t xml:space="preserve">Addressing the </w:t>
      </w:r>
      <w:r w:rsidR="00F21793">
        <w:rPr>
          <w:sz w:val="24"/>
          <w:szCs w:val="24"/>
        </w:rPr>
        <w:t xml:space="preserve">structural determinants of health </w:t>
      </w:r>
      <w:r w:rsidR="00D0430C">
        <w:rPr>
          <w:sz w:val="24"/>
          <w:szCs w:val="24"/>
        </w:rPr>
        <w:t>would be more effective at a higher level</w:t>
      </w:r>
      <w:r w:rsidR="008762AC">
        <w:rPr>
          <w:sz w:val="24"/>
          <w:szCs w:val="24"/>
        </w:rPr>
        <w:t>, across multiple systems</w:t>
      </w:r>
      <w:r w:rsidR="00D0430C">
        <w:rPr>
          <w:sz w:val="24"/>
          <w:szCs w:val="24"/>
        </w:rPr>
        <w:t xml:space="preserve"> that can influence these structures</w:t>
      </w:r>
      <w:r w:rsidR="008762AC">
        <w:rPr>
          <w:sz w:val="24"/>
          <w:szCs w:val="24"/>
        </w:rPr>
        <w:t>.  School</w:t>
      </w:r>
      <w:r w:rsidR="00BF112C">
        <w:rPr>
          <w:sz w:val="24"/>
          <w:szCs w:val="24"/>
        </w:rPr>
        <w:t>s</w:t>
      </w:r>
      <w:r w:rsidR="00F21793">
        <w:rPr>
          <w:sz w:val="24"/>
          <w:szCs w:val="24"/>
        </w:rPr>
        <w:t xml:space="preserve"> </w:t>
      </w:r>
      <w:r w:rsidR="00EA3C4D">
        <w:rPr>
          <w:sz w:val="24"/>
          <w:szCs w:val="24"/>
        </w:rPr>
        <w:t xml:space="preserve">however, </w:t>
      </w:r>
      <w:r w:rsidR="008762AC">
        <w:rPr>
          <w:sz w:val="24"/>
          <w:szCs w:val="24"/>
        </w:rPr>
        <w:t>would</w:t>
      </w:r>
      <w:r w:rsidR="00F21793">
        <w:rPr>
          <w:sz w:val="24"/>
          <w:szCs w:val="24"/>
        </w:rPr>
        <w:t xml:space="preserve"> be a </w:t>
      </w:r>
      <w:r w:rsidR="00B74265">
        <w:rPr>
          <w:sz w:val="24"/>
          <w:szCs w:val="24"/>
        </w:rPr>
        <w:t>beneficiary</w:t>
      </w:r>
      <w:r w:rsidR="00F21793">
        <w:rPr>
          <w:sz w:val="24"/>
          <w:szCs w:val="24"/>
        </w:rPr>
        <w:t xml:space="preserve"> of changes to the </w:t>
      </w:r>
      <w:r w:rsidR="00B74265">
        <w:rPr>
          <w:sz w:val="24"/>
          <w:szCs w:val="24"/>
        </w:rPr>
        <w:t>structural</w:t>
      </w:r>
      <w:r w:rsidR="00F21793">
        <w:rPr>
          <w:sz w:val="24"/>
          <w:szCs w:val="24"/>
        </w:rPr>
        <w:t xml:space="preserve"> determinants of hea</w:t>
      </w:r>
      <w:r w:rsidR="00EA3C4D">
        <w:rPr>
          <w:sz w:val="24"/>
          <w:szCs w:val="24"/>
        </w:rPr>
        <w:t>lth</w:t>
      </w:r>
      <w:r>
        <w:rPr>
          <w:sz w:val="24"/>
          <w:szCs w:val="24"/>
        </w:rPr>
        <w:t>.</w:t>
      </w:r>
      <w:r w:rsidR="00896F4F">
        <w:rPr>
          <w:sz w:val="24"/>
          <w:szCs w:val="24"/>
        </w:rPr>
        <w:t xml:space="preserve">  </w:t>
      </w:r>
      <w:r>
        <w:rPr>
          <w:sz w:val="24"/>
          <w:szCs w:val="24"/>
        </w:rPr>
        <w:t xml:space="preserve"> </w:t>
      </w:r>
      <w:r w:rsidR="006B42FE">
        <w:rPr>
          <w:sz w:val="24"/>
          <w:szCs w:val="24"/>
        </w:rPr>
        <w:t xml:space="preserve"> </w:t>
      </w:r>
    </w:p>
    <w:p w14:paraId="1CC3182B" w14:textId="77777777" w:rsidR="006B42FE" w:rsidRDefault="006B42FE" w:rsidP="00A33F53">
      <w:pPr>
        <w:spacing w:after="0"/>
        <w:rPr>
          <w:sz w:val="24"/>
          <w:szCs w:val="24"/>
        </w:rPr>
      </w:pPr>
    </w:p>
    <w:p w14:paraId="3FA193E3" w14:textId="5F6833A8" w:rsidR="008762AC" w:rsidRDefault="006B42FE" w:rsidP="00A33F53">
      <w:pPr>
        <w:spacing w:after="0"/>
        <w:rPr>
          <w:sz w:val="24"/>
          <w:szCs w:val="24"/>
        </w:rPr>
      </w:pPr>
      <w:r>
        <w:rPr>
          <w:sz w:val="24"/>
          <w:szCs w:val="24"/>
        </w:rPr>
        <w:t xml:space="preserve">Another point considered is that the mission of the JCSH is to work collaboratively across jurisdictions and between the education and health sectors to support health, well-being and </w:t>
      </w:r>
      <w:r>
        <w:rPr>
          <w:sz w:val="24"/>
          <w:szCs w:val="24"/>
        </w:rPr>
        <w:lastRenderedPageBreak/>
        <w:t xml:space="preserve">learning of children, youth, and school communities using the JCSH Comprehensive School Health Framework.  Using the JCSH as a driver for broad inter-sectorial </w:t>
      </w:r>
      <w:r w:rsidR="00B8361B">
        <w:rPr>
          <w:sz w:val="24"/>
          <w:szCs w:val="24"/>
        </w:rPr>
        <w:t xml:space="preserve">structural </w:t>
      </w:r>
      <w:r>
        <w:rPr>
          <w:sz w:val="24"/>
          <w:szCs w:val="24"/>
        </w:rPr>
        <w:t>change may be beyond the scope.</w:t>
      </w:r>
    </w:p>
    <w:p w14:paraId="34B34D9F" w14:textId="77777777" w:rsidR="008762AC" w:rsidRDefault="008762AC" w:rsidP="00A33F53">
      <w:pPr>
        <w:spacing w:after="0"/>
        <w:rPr>
          <w:sz w:val="24"/>
          <w:szCs w:val="24"/>
        </w:rPr>
      </w:pPr>
    </w:p>
    <w:p w14:paraId="5DB5A4A7" w14:textId="5A595236" w:rsidR="00F21793" w:rsidRDefault="00A33F53" w:rsidP="00A33F53">
      <w:pPr>
        <w:spacing w:after="0"/>
        <w:rPr>
          <w:sz w:val="24"/>
          <w:szCs w:val="24"/>
        </w:rPr>
      </w:pPr>
      <w:r>
        <w:rPr>
          <w:sz w:val="24"/>
          <w:szCs w:val="24"/>
        </w:rPr>
        <w:t xml:space="preserve">The structural determinants of health is not a principal we can apply to a particular setting </w:t>
      </w:r>
      <w:r w:rsidR="00B8361B">
        <w:rPr>
          <w:sz w:val="24"/>
          <w:szCs w:val="24"/>
        </w:rPr>
        <w:t>such as</w:t>
      </w:r>
      <w:r>
        <w:rPr>
          <w:sz w:val="24"/>
          <w:szCs w:val="24"/>
        </w:rPr>
        <w:t xml:space="preserve"> schools but it is good information to</w:t>
      </w:r>
      <w:r w:rsidR="00F21793">
        <w:rPr>
          <w:sz w:val="24"/>
          <w:szCs w:val="24"/>
        </w:rPr>
        <w:t xml:space="preserve"> consider in term</w:t>
      </w:r>
      <w:r w:rsidR="008762AC">
        <w:rPr>
          <w:sz w:val="24"/>
          <w:szCs w:val="24"/>
        </w:rPr>
        <w:t>s of decision making.</w:t>
      </w:r>
      <w:r w:rsidR="00896F4F">
        <w:rPr>
          <w:sz w:val="24"/>
          <w:szCs w:val="24"/>
        </w:rPr>
        <w:t xml:space="preserve">  Although schools may not be able to impact the structural determinants of health, they do need to address the impact they have on students.</w:t>
      </w:r>
      <w:r w:rsidR="008762AC">
        <w:rPr>
          <w:sz w:val="24"/>
          <w:szCs w:val="24"/>
        </w:rPr>
        <w:t xml:space="preserve">  The task group recommends </w:t>
      </w:r>
      <w:r w:rsidR="003D09F2">
        <w:rPr>
          <w:sz w:val="24"/>
          <w:szCs w:val="24"/>
        </w:rPr>
        <w:t>looking at how we can address equity</w:t>
      </w:r>
      <w:r w:rsidR="00F21793">
        <w:rPr>
          <w:sz w:val="24"/>
          <w:szCs w:val="24"/>
        </w:rPr>
        <w:t xml:space="preserve"> in schools</w:t>
      </w:r>
      <w:r w:rsidR="008762AC">
        <w:rPr>
          <w:sz w:val="24"/>
          <w:szCs w:val="24"/>
        </w:rPr>
        <w:t>, which includes collecting and using data on health equity</w:t>
      </w:r>
      <w:r w:rsidR="00D03E58">
        <w:rPr>
          <w:sz w:val="24"/>
          <w:szCs w:val="24"/>
        </w:rPr>
        <w:t xml:space="preserve">.  Without data it will be challenging to determine if </w:t>
      </w:r>
      <w:r w:rsidR="00865593">
        <w:rPr>
          <w:sz w:val="24"/>
          <w:szCs w:val="24"/>
        </w:rPr>
        <w:t xml:space="preserve">there are health </w:t>
      </w:r>
      <w:r w:rsidR="00CE5902">
        <w:rPr>
          <w:sz w:val="24"/>
          <w:szCs w:val="24"/>
        </w:rPr>
        <w:t>in</w:t>
      </w:r>
      <w:r w:rsidR="00865593">
        <w:rPr>
          <w:sz w:val="24"/>
          <w:szCs w:val="24"/>
        </w:rPr>
        <w:t xml:space="preserve">equities and if they are </w:t>
      </w:r>
      <w:r w:rsidR="00D03E58">
        <w:rPr>
          <w:sz w:val="24"/>
          <w:szCs w:val="24"/>
        </w:rPr>
        <w:t>improving after intervention</w:t>
      </w:r>
      <w:r w:rsidR="008762AC">
        <w:rPr>
          <w:sz w:val="24"/>
          <w:szCs w:val="24"/>
        </w:rPr>
        <w:t xml:space="preserve">.  </w:t>
      </w:r>
    </w:p>
    <w:p w14:paraId="1C7A76FB" w14:textId="6D465009" w:rsidR="00F21793" w:rsidRDefault="00F21793" w:rsidP="00A33F53">
      <w:pPr>
        <w:spacing w:after="0"/>
        <w:rPr>
          <w:sz w:val="24"/>
          <w:szCs w:val="24"/>
        </w:rPr>
      </w:pPr>
    </w:p>
    <w:p w14:paraId="754BDEA6" w14:textId="77777777" w:rsidR="00865593" w:rsidRDefault="00865593" w:rsidP="00865593">
      <w:pPr>
        <w:spacing w:after="0"/>
        <w:rPr>
          <w:sz w:val="24"/>
          <w:szCs w:val="24"/>
        </w:rPr>
      </w:pPr>
      <w:r>
        <w:rPr>
          <w:sz w:val="24"/>
          <w:szCs w:val="24"/>
        </w:rPr>
        <w:t>There has been some research in addressing the social determinants of health inequities in specific settings.</w:t>
      </w:r>
    </w:p>
    <w:p w14:paraId="480FA756" w14:textId="77777777" w:rsidR="00A33F53" w:rsidRDefault="00A33F53" w:rsidP="00A33F53">
      <w:pPr>
        <w:spacing w:after="0"/>
        <w:rPr>
          <w:sz w:val="24"/>
          <w:szCs w:val="24"/>
        </w:rPr>
      </w:pPr>
    </w:p>
    <w:p w14:paraId="1B9368D5" w14:textId="106C20AA" w:rsidR="00A33F53" w:rsidRDefault="00A33F53" w:rsidP="00A33F53">
      <w:pPr>
        <w:spacing w:after="0"/>
        <w:rPr>
          <w:sz w:val="24"/>
          <w:szCs w:val="24"/>
        </w:rPr>
      </w:pPr>
      <w:r w:rsidRPr="00A33F53">
        <w:rPr>
          <w:sz w:val="24"/>
          <w:szCs w:val="24"/>
        </w:rPr>
        <w:t xml:space="preserve">The </w:t>
      </w:r>
      <w:r w:rsidRPr="00A33F53">
        <w:rPr>
          <w:b/>
          <w:sz w:val="24"/>
          <w:szCs w:val="24"/>
        </w:rPr>
        <w:t>social determinants of health inequities</w:t>
      </w:r>
      <w:r>
        <w:rPr>
          <w:sz w:val="24"/>
          <w:szCs w:val="24"/>
        </w:rPr>
        <w:t xml:space="preserve"> are the</w:t>
      </w:r>
      <w:r w:rsidRPr="00A33F53">
        <w:rPr>
          <w:sz w:val="24"/>
          <w:szCs w:val="24"/>
        </w:rPr>
        <w:t xml:space="preserve"> structural processes that distribute</w:t>
      </w:r>
      <w:r>
        <w:rPr>
          <w:sz w:val="24"/>
          <w:szCs w:val="24"/>
        </w:rPr>
        <w:t xml:space="preserve"> the determinants of health</w:t>
      </w:r>
      <w:r w:rsidRPr="00A33F53">
        <w:rPr>
          <w:sz w:val="24"/>
          <w:szCs w:val="24"/>
        </w:rPr>
        <w:t xml:space="preserve"> unequally in society</w:t>
      </w:r>
      <w:r>
        <w:rPr>
          <w:sz w:val="24"/>
          <w:szCs w:val="24"/>
        </w:rPr>
        <w:t>.  A review of work around the social determinants of health inequities may give the JCSH some practical applications to address inequities in schools.</w:t>
      </w:r>
    </w:p>
    <w:p w14:paraId="1F2DE0DE" w14:textId="3E186696" w:rsidR="00D149AE" w:rsidRDefault="00D149AE" w:rsidP="00A33F53">
      <w:pPr>
        <w:spacing w:after="0"/>
        <w:rPr>
          <w:sz w:val="24"/>
          <w:szCs w:val="24"/>
        </w:rPr>
      </w:pPr>
    </w:p>
    <w:p w14:paraId="49245C56" w14:textId="63751E6D" w:rsidR="00D149AE" w:rsidRPr="0068050C" w:rsidRDefault="00D149AE" w:rsidP="00A33F53">
      <w:pPr>
        <w:spacing w:after="0"/>
        <w:rPr>
          <w:b/>
          <w:sz w:val="24"/>
          <w:szCs w:val="24"/>
        </w:rPr>
      </w:pPr>
      <w:r w:rsidRPr="0068050C">
        <w:rPr>
          <w:b/>
          <w:sz w:val="24"/>
          <w:szCs w:val="24"/>
        </w:rPr>
        <w:t xml:space="preserve">How </w:t>
      </w:r>
      <w:r w:rsidR="0068050C">
        <w:rPr>
          <w:b/>
          <w:sz w:val="24"/>
          <w:szCs w:val="24"/>
        </w:rPr>
        <w:t>Can We Address Health Equity in the School Setting</w:t>
      </w:r>
      <w:r w:rsidR="0068050C" w:rsidRPr="0068050C">
        <w:rPr>
          <w:b/>
          <w:sz w:val="24"/>
          <w:szCs w:val="24"/>
        </w:rPr>
        <w:t>?</w:t>
      </w:r>
    </w:p>
    <w:p w14:paraId="2DCFF3D5" w14:textId="572271E1" w:rsidR="0068050C" w:rsidRDefault="0068050C" w:rsidP="00F57CE2">
      <w:pPr>
        <w:spacing w:after="0"/>
        <w:rPr>
          <w:rFonts w:cstheme="minorHAnsi"/>
          <w:sz w:val="24"/>
          <w:szCs w:val="24"/>
        </w:rPr>
      </w:pPr>
      <w:r>
        <w:rPr>
          <w:rFonts w:cstheme="minorHAnsi"/>
          <w:sz w:val="24"/>
          <w:szCs w:val="24"/>
        </w:rPr>
        <w:t>One way to address h</w:t>
      </w:r>
      <w:r w:rsidRPr="0068050C">
        <w:rPr>
          <w:rFonts w:cstheme="minorHAnsi"/>
          <w:sz w:val="24"/>
          <w:szCs w:val="24"/>
        </w:rPr>
        <w:t xml:space="preserve">ealth </w:t>
      </w:r>
      <w:r>
        <w:rPr>
          <w:rFonts w:cstheme="minorHAnsi"/>
          <w:sz w:val="24"/>
          <w:szCs w:val="24"/>
        </w:rPr>
        <w:t>equity in the school setting is to consider health equity in all policy and programming decisions.  This can be done through a focus on Health in All Policies</w:t>
      </w:r>
      <w:r w:rsidR="00296E9B">
        <w:rPr>
          <w:rFonts w:cstheme="minorHAnsi"/>
          <w:sz w:val="24"/>
          <w:szCs w:val="24"/>
        </w:rPr>
        <w:t xml:space="preserve"> using</w:t>
      </w:r>
      <w:r>
        <w:rPr>
          <w:rFonts w:cstheme="minorHAnsi"/>
          <w:sz w:val="24"/>
          <w:szCs w:val="24"/>
        </w:rPr>
        <w:t xml:space="preserve"> a Health Equity Impact Asse</w:t>
      </w:r>
      <w:r w:rsidR="00486E09">
        <w:rPr>
          <w:rFonts w:cstheme="minorHAnsi"/>
          <w:sz w:val="24"/>
          <w:szCs w:val="24"/>
        </w:rPr>
        <w:t xml:space="preserve">ssment </w:t>
      </w:r>
      <w:r w:rsidR="00296E9B" w:rsidRPr="0004331A">
        <w:rPr>
          <w:rFonts w:cstheme="minorHAnsi"/>
          <w:sz w:val="24"/>
          <w:szCs w:val="24"/>
        </w:rPr>
        <w:t>to ensure health equity is effectively considered and acted upon within planning and policy development</w:t>
      </w:r>
      <w:r>
        <w:rPr>
          <w:rFonts w:cstheme="minorHAnsi"/>
          <w:sz w:val="24"/>
          <w:szCs w:val="24"/>
        </w:rPr>
        <w:t>.</w:t>
      </w:r>
    </w:p>
    <w:p w14:paraId="3A72F3DC" w14:textId="53DBAEDB" w:rsidR="0068050C" w:rsidRPr="0068050C" w:rsidRDefault="0068050C" w:rsidP="00F57CE2">
      <w:pPr>
        <w:spacing w:after="0"/>
        <w:rPr>
          <w:rFonts w:cstheme="minorHAnsi"/>
          <w:sz w:val="24"/>
          <w:szCs w:val="24"/>
        </w:rPr>
      </w:pPr>
      <w:r>
        <w:rPr>
          <w:rFonts w:cstheme="minorHAnsi"/>
          <w:sz w:val="24"/>
          <w:szCs w:val="24"/>
        </w:rPr>
        <w:t xml:space="preserve"> </w:t>
      </w:r>
    </w:p>
    <w:p w14:paraId="7A6F74C0" w14:textId="7347A751" w:rsidR="00A64A77" w:rsidRPr="0004331A" w:rsidRDefault="0004331A" w:rsidP="00F57CE2">
      <w:pPr>
        <w:spacing w:after="0"/>
        <w:rPr>
          <w:rFonts w:cstheme="minorHAnsi"/>
          <w:sz w:val="24"/>
          <w:szCs w:val="24"/>
        </w:rPr>
      </w:pPr>
      <w:r w:rsidRPr="0068050C">
        <w:rPr>
          <w:rFonts w:cstheme="minorHAnsi"/>
          <w:b/>
          <w:sz w:val="24"/>
          <w:szCs w:val="24"/>
        </w:rPr>
        <w:t>Health in All Policies (HiAP)</w:t>
      </w:r>
      <w:r w:rsidRPr="0068050C">
        <w:rPr>
          <w:rFonts w:cstheme="minorHAnsi"/>
          <w:sz w:val="24"/>
          <w:szCs w:val="24"/>
        </w:rPr>
        <w:t xml:space="preserve"> is a strategy to assist leaders and policymakers in integrating considerations</w:t>
      </w:r>
      <w:r w:rsidRPr="0004331A">
        <w:rPr>
          <w:rFonts w:cstheme="minorHAnsi"/>
          <w:sz w:val="24"/>
          <w:szCs w:val="24"/>
        </w:rPr>
        <w:t xml:space="preserve"> of health, well-being, and equity during the development, implementation, and evaluation of policies and services. HiAP strategies are meant to ensure that all policies and services from all sectors have beneficial or neutral impacts</w:t>
      </w:r>
      <w:r>
        <w:rPr>
          <w:rFonts w:cstheme="minorHAnsi"/>
          <w:sz w:val="24"/>
          <w:szCs w:val="24"/>
        </w:rPr>
        <w:t xml:space="preserve"> on the determinants of health.</w:t>
      </w:r>
    </w:p>
    <w:p w14:paraId="0C3DD54B" w14:textId="77777777" w:rsidR="0004331A" w:rsidRPr="0004331A" w:rsidRDefault="0004331A" w:rsidP="00F57CE2">
      <w:pPr>
        <w:spacing w:after="0"/>
        <w:rPr>
          <w:rFonts w:cstheme="minorHAnsi"/>
          <w:sz w:val="24"/>
          <w:szCs w:val="24"/>
        </w:rPr>
      </w:pPr>
    </w:p>
    <w:p w14:paraId="20A59FB4" w14:textId="4C3E17AB" w:rsidR="00A64A77" w:rsidRPr="0004331A" w:rsidRDefault="00D149AE" w:rsidP="00F57CE2">
      <w:pPr>
        <w:spacing w:after="0"/>
        <w:rPr>
          <w:rFonts w:cstheme="minorHAnsi"/>
          <w:sz w:val="24"/>
          <w:szCs w:val="24"/>
        </w:rPr>
      </w:pPr>
      <w:r>
        <w:rPr>
          <w:rFonts w:cstheme="minorHAnsi"/>
          <w:sz w:val="24"/>
          <w:szCs w:val="24"/>
        </w:rPr>
        <w:t xml:space="preserve">A </w:t>
      </w:r>
      <w:r w:rsidR="00A64A77" w:rsidRPr="00D149AE">
        <w:rPr>
          <w:rFonts w:cstheme="minorHAnsi"/>
          <w:b/>
          <w:sz w:val="24"/>
          <w:szCs w:val="24"/>
        </w:rPr>
        <w:t>H</w:t>
      </w:r>
      <w:r w:rsidRPr="00D149AE">
        <w:rPr>
          <w:rFonts w:cstheme="minorHAnsi"/>
          <w:b/>
          <w:sz w:val="24"/>
          <w:szCs w:val="24"/>
        </w:rPr>
        <w:t xml:space="preserve">ealth </w:t>
      </w:r>
      <w:r w:rsidR="00A64A77" w:rsidRPr="00D149AE">
        <w:rPr>
          <w:rFonts w:cstheme="minorHAnsi"/>
          <w:b/>
          <w:sz w:val="24"/>
          <w:szCs w:val="24"/>
        </w:rPr>
        <w:t>E</w:t>
      </w:r>
      <w:r w:rsidRPr="00D149AE">
        <w:rPr>
          <w:rFonts w:cstheme="minorHAnsi"/>
          <w:b/>
          <w:sz w:val="24"/>
          <w:szCs w:val="24"/>
        </w:rPr>
        <w:t xml:space="preserve">quity </w:t>
      </w:r>
      <w:r w:rsidR="00A64A77" w:rsidRPr="00D149AE">
        <w:rPr>
          <w:rFonts w:cstheme="minorHAnsi"/>
          <w:b/>
          <w:sz w:val="24"/>
          <w:szCs w:val="24"/>
        </w:rPr>
        <w:t>I</w:t>
      </w:r>
      <w:r w:rsidRPr="00D149AE">
        <w:rPr>
          <w:rFonts w:cstheme="minorHAnsi"/>
          <w:b/>
          <w:sz w:val="24"/>
          <w:szCs w:val="24"/>
        </w:rPr>
        <w:t xml:space="preserve">mpact </w:t>
      </w:r>
      <w:r w:rsidR="00A64A77" w:rsidRPr="00D149AE">
        <w:rPr>
          <w:rFonts w:cstheme="minorHAnsi"/>
          <w:b/>
          <w:sz w:val="24"/>
          <w:szCs w:val="24"/>
        </w:rPr>
        <w:t>A</w:t>
      </w:r>
      <w:r w:rsidRPr="00D149AE">
        <w:rPr>
          <w:rFonts w:cstheme="minorHAnsi"/>
          <w:b/>
          <w:sz w:val="24"/>
          <w:szCs w:val="24"/>
        </w:rPr>
        <w:t>ssessment (HEIA)</w:t>
      </w:r>
      <w:r w:rsidR="00A64A77" w:rsidRPr="0004331A">
        <w:rPr>
          <w:rFonts w:cstheme="minorHAnsi"/>
          <w:sz w:val="24"/>
          <w:szCs w:val="24"/>
        </w:rPr>
        <w:t xml:space="preserve"> is a to</w:t>
      </w:r>
      <w:r>
        <w:rPr>
          <w:rFonts w:cstheme="minorHAnsi"/>
          <w:sz w:val="24"/>
          <w:szCs w:val="24"/>
        </w:rPr>
        <w:t>ol used to analyze a decision, program,</w:t>
      </w:r>
      <w:r w:rsidR="00A64A77" w:rsidRPr="0004331A">
        <w:rPr>
          <w:rFonts w:cstheme="minorHAnsi"/>
          <w:sz w:val="24"/>
          <w:szCs w:val="24"/>
        </w:rPr>
        <w:t xml:space="preserve"> or policy's potential impact on health disparities and/or on health disadvantag</w:t>
      </w:r>
      <w:r w:rsidR="00296E9B">
        <w:rPr>
          <w:rFonts w:cstheme="minorHAnsi"/>
          <w:sz w:val="24"/>
          <w:szCs w:val="24"/>
        </w:rPr>
        <w:t>ed populations.</w:t>
      </w:r>
      <w:r w:rsidR="0004331A" w:rsidRPr="0004331A">
        <w:rPr>
          <w:rFonts w:cstheme="minorHAnsi"/>
          <w:sz w:val="24"/>
          <w:szCs w:val="24"/>
        </w:rPr>
        <w:t xml:space="preserve"> </w:t>
      </w:r>
      <w:r w:rsidR="00D2594C">
        <w:rPr>
          <w:rFonts w:cstheme="minorHAnsi"/>
          <w:sz w:val="24"/>
          <w:szCs w:val="24"/>
        </w:rPr>
        <w:t xml:space="preserve">The HEIA can also bridge relevant sectors to encourage </w:t>
      </w:r>
      <w:r w:rsidR="00855241">
        <w:rPr>
          <w:rFonts w:cstheme="minorHAnsi"/>
          <w:sz w:val="24"/>
          <w:szCs w:val="24"/>
        </w:rPr>
        <w:t>dialogue and</w:t>
      </w:r>
      <w:r w:rsidR="00D2594C">
        <w:rPr>
          <w:rFonts w:cstheme="minorHAnsi"/>
          <w:sz w:val="24"/>
          <w:szCs w:val="24"/>
        </w:rPr>
        <w:t xml:space="preserve"> collaboration</w:t>
      </w:r>
      <w:r w:rsidR="00855241">
        <w:rPr>
          <w:rFonts w:cstheme="minorHAnsi"/>
          <w:sz w:val="24"/>
          <w:szCs w:val="24"/>
        </w:rPr>
        <w:t>.</w:t>
      </w:r>
      <w:r w:rsidR="00865593">
        <w:rPr>
          <w:rFonts w:cstheme="minorHAnsi"/>
          <w:sz w:val="24"/>
          <w:szCs w:val="24"/>
        </w:rPr>
        <w:t xml:space="preserve">  </w:t>
      </w:r>
    </w:p>
    <w:p w14:paraId="2FD3E945" w14:textId="77777777" w:rsidR="00625261" w:rsidRDefault="00625261" w:rsidP="00F57CE2">
      <w:pPr>
        <w:spacing w:after="0"/>
        <w:rPr>
          <w:sz w:val="24"/>
          <w:szCs w:val="24"/>
        </w:rPr>
      </w:pPr>
    </w:p>
    <w:p w14:paraId="6FA8CE09" w14:textId="1FCBCD9E" w:rsidR="00625261" w:rsidRDefault="00625261" w:rsidP="00F57CE2">
      <w:pPr>
        <w:spacing w:after="0"/>
        <w:rPr>
          <w:b/>
          <w:sz w:val="24"/>
          <w:szCs w:val="24"/>
          <w:u w:val="single"/>
        </w:rPr>
      </w:pPr>
      <w:r w:rsidRPr="00833069">
        <w:rPr>
          <w:b/>
          <w:sz w:val="24"/>
          <w:szCs w:val="24"/>
          <w:u w:val="single"/>
        </w:rPr>
        <w:t>Recommendations for future work</w:t>
      </w:r>
      <w:r w:rsidR="00057357" w:rsidRPr="00833069">
        <w:rPr>
          <w:b/>
          <w:sz w:val="24"/>
          <w:szCs w:val="24"/>
          <w:u w:val="single"/>
        </w:rPr>
        <w:t xml:space="preserve"> for the JCSH equity task group (2022-23)</w:t>
      </w:r>
    </w:p>
    <w:p w14:paraId="689BEA0E" w14:textId="77777777" w:rsidR="00EE4579" w:rsidRPr="00833069" w:rsidRDefault="00EE4579" w:rsidP="00F57CE2">
      <w:pPr>
        <w:spacing w:after="0"/>
        <w:rPr>
          <w:b/>
          <w:sz w:val="24"/>
          <w:szCs w:val="24"/>
          <w:u w:val="single"/>
        </w:rPr>
      </w:pPr>
    </w:p>
    <w:p w14:paraId="39F53009" w14:textId="5C78C0CC" w:rsidR="009B7604" w:rsidRDefault="009B7604" w:rsidP="009B7604">
      <w:pPr>
        <w:pStyle w:val="ListParagraph"/>
        <w:numPr>
          <w:ilvl w:val="0"/>
          <w:numId w:val="8"/>
        </w:numPr>
        <w:spacing w:after="0"/>
        <w:rPr>
          <w:sz w:val="24"/>
          <w:szCs w:val="24"/>
        </w:rPr>
      </w:pPr>
      <w:r>
        <w:rPr>
          <w:sz w:val="24"/>
          <w:szCs w:val="24"/>
        </w:rPr>
        <w:t xml:space="preserve">Invite representatives from </w:t>
      </w:r>
      <w:r w:rsidR="00F83B36">
        <w:rPr>
          <w:sz w:val="24"/>
          <w:szCs w:val="24"/>
        </w:rPr>
        <w:t>I</w:t>
      </w:r>
      <w:r>
        <w:rPr>
          <w:sz w:val="24"/>
          <w:szCs w:val="24"/>
        </w:rPr>
        <w:t>ndigenous governments/communities to join the JCSH</w:t>
      </w:r>
      <w:r w:rsidR="00864A7D">
        <w:rPr>
          <w:sz w:val="24"/>
          <w:szCs w:val="24"/>
        </w:rPr>
        <w:t xml:space="preserve"> to be involved in decision making</w:t>
      </w:r>
      <w:r>
        <w:rPr>
          <w:sz w:val="24"/>
          <w:szCs w:val="24"/>
        </w:rPr>
        <w:t>.</w:t>
      </w:r>
    </w:p>
    <w:p w14:paraId="0E4095C6" w14:textId="77777777" w:rsidR="00625261" w:rsidRDefault="00625261" w:rsidP="00A74416">
      <w:pPr>
        <w:pStyle w:val="ListParagraph"/>
        <w:numPr>
          <w:ilvl w:val="0"/>
          <w:numId w:val="8"/>
        </w:numPr>
        <w:spacing w:after="0"/>
        <w:rPr>
          <w:sz w:val="24"/>
          <w:szCs w:val="24"/>
        </w:rPr>
      </w:pPr>
      <w:r w:rsidRPr="00A74416">
        <w:rPr>
          <w:sz w:val="24"/>
          <w:szCs w:val="24"/>
        </w:rPr>
        <w:lastRenderedPageBreak/>
        <w:t>Continue</w:t>
      </w:r>
      <w:r w:rsidR="009B7604">
        <w:rPr>
          <w:sz w:val="24"/>
          <w:szCs w:val="24"/>
        </w:rPr>
        <w:t xml:space="preserve"> knowledge sharing and</w:t>
      </w:r>
      <w:r w:rsidRPr="00A74416">
        <w:rPr>
          <w:sz w:val="24"/>
          <w:szCs w:val="24"/>
        </w:rPr>
        <w:t xml:space="preserve"> collaboration between health and education sectors across Canada</w:t>
      </w:r>
      <w:r w:rsidR="009B7604">
        <w:rPr>
          <w:sz w:val="24"/>
          <w:szCs w:val="24"/>
        </w:rPr>
        <w:t xml:space="preserve"> through the JCSH.</w:t>
      </w:r>
    </w:p>
    <w:p w14:paraId="5EBE91DD" w14:textId="77777777" w:rsidR="00BE493B" w:rsidRDefault="00BE493B" w:rsidP="00A74416">
      <w:pPr>
        <w:pStyle w:val="ListParagraph"/>
        <w:numPr>
          <w:ilvl w:val="0"/>
          <w:numId w:val="8"/>
        </w:numPr>
        <w:spacing w:after="0"/>
        <w:rPr>
          <w:sz w:val="24"/>
          <w:szCs w:val="24"/>
        </w:rPr>
      </w:pPr>
      <w:r>
        <w:rPr>
          <w:sz w:val="24"/>
          <w:szCs w:val="24"/>
        </w:rPr>
        <w:t>Consider the structural determinants of health in all decision making.</w:t>
      </w:r>
    </w:p>
    <w:p w14:paraId="4FEEA952" w14:textId="1FB1787B" w:rsidR="00821B7C" w:rsidRDefault="00864A7D" w:rsidP="00A74416">
      <w:pPr>
        <w:pStyle w:val="ListParagraph"/>
        <w:numPr>
          <w:ilvl w:val="0"/>
          <w:numId w:val="8"/>
        </w:numPr>
        <w:spacing w:after="0"/>
        <w:rPr>
          <w:sz w:val="24"/>
          <w:szCs w:val="24"/>
        </w:rPr>
      </w:pPr>
      <w:r>
        <w:rPr>
          <w:sz w:val="24"/>
          <w:szCs w:val="24"/>
        </w:rPr>
        <w:t>Equity t</w:t>
      </w:r>
      <w:r w:rsidR="00F21793">
        <w:rPr>
          <w:sz w:val="24"/>
          <w:szCs w:val="24"/>
        </w:rPr>
        <w:t>ask group to focus on</w:t>
      </w:r>
      <w:r w:rsidR="00821B7C">
        <w:rPr>
          <w:sz w:val="24"/>
          <w:szCs w:val="24"/>
        </w:rPr>
        <w:t xml:space="preserve"> social determinants of health inequities in the school setting</w:t>
      </w:r>
      <w:r w:rsidR="00B8361B">
        <w:rPr>
          <w:sz w:val="24"/>
          <w:szCs w:val="24"/>
        </w:rPr>
        <w:t xml:space="preserve"> in 2022-23</w:t>
      </w:r>
      <w:r w:rsidR="00821B7C">
        <w:rPr>
          <w:sz w:val="24"/>
          <w:szCs w:val="24"/>
        </w:rPr>
        <w:t>.</w:t>
      </w:r>
    </w:p>
    <w:p w14:paraId="11E2870F" w14:textId="77777777" w:rsidR="007051F3" w:rsidRDefault="007051F3" w:rsidP="007051F3">
      <w:pPr>
        <w:pStyle w:val="ListParagraph"/>
        <w:numPr>
          <w:ilvl w:val="0"/>
          <w:numId w:val="8"/>
        </w:numPr>
        <w:spacing w:after="0"/>
        <w:rPr>
          <w:sz w:val="24"/>
          <w:szCs w:val="24"/>
        </w:rPr>
      </w:pPr>
      <w:r>
        <w:rPr>
          <w:sz w:val="24"/>
          <w:szCs w:val="24"/>
        </w:rPr>
        <w:t>Determine what Ministries/Districts/Schools want/need to support health equity and if health equity is a priority.</w:t>
      </w:r>
    </w:p>
    <w:p w14:paraId="3A63FCE0" w14:textId="77777777" w:rsidR="00A74416" w:rsidRDefault="00A74416" w:rsidP="00A74416">
      <w:pPr>
        <w:pStyle w:val="ListParagraph"/>
        <w:numPr>
          <w:ilvl w:val="0"/>
          <w:numId w:val="8"/>
        </w:numPr>
        <w:spacing w:after="0"/>
        <w:rPr>
          <w:sz w:val="24"/>
          <w:szCs w:val="24"/>
        </w:rPr>
      </w:pPr>
      <w:r w:rsidRPr="00A74416">
        <w:rPr>
          <w:sz w:val="24"/>
          <w:szCs w:val="24"/>
        </w:rPr>
        <w:t>Complete a scan of how JCSH jurisdictions implement Health in All Policies</w:t>
      </w:r>
      <w:r>
        <w:rPr>
          <w:sz w:val="24"/>
          <w:szCs w:val="24"/>
        </w:rPr>
        <w:t xml:space="preserve"> (HiAP)</w:t>
      </w:r>
      <w:r w:rsidRPr="00A74416">
        <w:rPr>
          <w:sz w:val="24"/>
          <w:szCs w:val="24"/>
        </w:rPr>
        <w:t xml:space="preserve"> to address structural</w:t>
      </w:r>
      <w:r w:rsidR="00864A7D">
        <w:rPr>
          <w:sz w:val="24"/>
          <w:szCs w:val="24"/>
        </w:rPr>
        <w:t>/social</w:t>
      </w:r>
      <w:r>
        <w:rPr>
          <w:sz w:val="24"/>
          <w:szCs w:val="24"/>
        </w:rPr>
        <w:t xml:space="preserve"> determinants of health.</w:t>
      </w:r>
    </w:p>
    <w:p w14:paraId="28E90095" w14:textId="77777777" w:rsidR="00A74416" w:rsidRDefault="00A74416" w:rsidP="00A74416">
      <w:pPr>
        <w:pStyle w:val="ListParagraph"/>
        <w:numPr>
          <w:ilvl w:val="0"/>
          <w:numId w:val="8"/>
        </w:numPr>
        <w:spacing w:after="0"/>
        <w:rPr>
          <w:sz w:val="24"/>
          <w:szCs w:val="24"/>
        </w:rPr>
      </w:pPr>
      <w:r>
        <w:rPr>
          <w:sz w:val="24"/>
          <w:szCs w:val="24"/>
        </w:rPr>
        <w:t>Complete a scan of how JCSH jurisdictions use health impact assessments to support HiAP.</w:t>
      </w:r>
    </w:p>
    <w:p w14:paraId="0DC81A7D" w14:textId="2A5FE739" w:rsidR="009B7604" w:rsidRDefault="009B7604" w:rsidP="00A74416">
      <w:pPr>
        <w:pStyle w:val="ListParagraph"/>
        <w:numPr>
          <w:ilvl w:val="0"/>
          <w:numId w:val="8"/>
        </w:numPr>
        <w:spacing w:after="0"/>
        <w:rPr>
          <w:sz w:val="24"/>
          <w:szCs w:val="24"/>
        </w:rPr>
      </w:pPr>
      <w:r>
        <w:rPr>
          <w:sz w:val="24"/>
          <w:szCs w:val="24"/>
        </w:rPr>
        <w:t>Determine what data is available on health equity measures for school aged youth</w:t>
      </w:r>
      <w:r w:rsidR="00541304">
        <w:rPr>
          <w:sz w:val="24"/>
          <w:szCs w:val="24"/>
        </w:rPr>
        <w:t xml:space="preserve"> across Canada</w:t>
      </w:r>
      <w:r>
        <w:rPr>
          <w:sz w:val="24"/>
          <w:szCs w:val="24"/>
        </w:rPr>
        <w:t xml:space="preserve">. </w:t>
      </w:r>
      <w:r w:rsidR="000E0917">
        <w:rPr>
          <w:sz w:val="24"/>
          <w:szCs w:val="24"/>
        </w:rPr>
        <w:t>We</w:t>
      </w:r>
      <w:r w:rsidR="00492E20">
        <w:rPr>
          <w:sz w:val="24"/>
          <w:szCs w:val="24"/>
        </w:rPr>
        <w:t xml:space="preserve"> can only count what is being counted.</w:t>
      </w:r>
    </w:p>
    <w:p w14:paraId="50ACF664" w14:textId="01ECB7A6" w:rsidR="008066B3" w:rsidRDefault="008066B3" w:rsidP="00A74416">
      <w:pPr>
        <w:pStyle w:val="ListParagraph"/>
        <w:numPr>
          <w:ilvl w:val="0"/>
          <w:numId w:val="8"/>
        </w:numPr>
        <w:spacing w:after="0"/>
        <w:rPr>
          <w:sz w:val="24"/>
          <w:szCs w:val="24"/>
        </w:rPr>
      </w:pPr>
      <w:r>
        <w:rPr>
          <w:sz w:val="24"/>
          <w:szCs w:val="24"/>
        </w:rPr>
        <w:t>Conduc</w:t>
      </w:r>
      <w:r w:rsidR="00F21793">
        <w:rPr>
          <w:sz w:val="24"/>
          <w:szCs w:val="24"/>
        </w:rPr>
        <w:t>t a jurisdictional scan of the school d</w:t>
      </w:r>
      <w:r>
        <w:rPr>
          <w:sz w:val="24"/>
          <w:szCs w:val="24"/>
        </w:rPr>
        <w:t>evelopment planning and reporting process</w:t>
      </w:r>
      <w:r w:rsidR="000E2EAF">
        <w:rPr>
          <w:sz w:val="24"/>
          <w:szCs w:val="24"/>
        </w:rPr>
        <w:t>es</w:t>
      </w:r>
      <w:r>
        <w:rPr>
          <w:sz w:val="24"/>
          <w:szCs w:val="24"/>
        </w:rPr>
        <w:t xml:space="preserve"> in member jurisdictions.</w:t>
      </w:r>
    </w:p>
    <w:p w14:paraId="195817AB" w14:textId="275FF8C7" w:rsidR="00B85CED" w:rsidRPr="00B85CED" w:rsidRDefault="002F41AE" w:rsidP="000F62DD">
      <w:pPr>
        <w:pStyle w:val="ListParagraph"/>
        <w:numPr>
          <w:ilvl w:val="0"/>
          <w:numId w:val="8"/>
        </w:numPr>
        <w:spacing w:after="0"/>
        <w:rPr>
          <w:sz w:val="24"/>
          <w:szCs w:val="24"/>
        </w:rPr>
      </w:pPr>
      <w:r w:rsidRPr="00B85CED">
        <w:rPr>
          <w:sz w:val="24"/>
          <w:szCs w:val="24"/>
        </w:rPr>
        <w:t>Determine the feasibility of d</w:t>
      </w:r>
      <w:r w:rsidR="00A74416" w:rsidRPr="00B85CED">
        <w:rPr>
          <w:sz w:val="24"/>
          <w:szCs w:val="24"/>
        </w:rPr>
        <w:t>evelop</w:t>
      </w:r>
      <w:r w:rsidRPr="00B85CED">
        <w:rPr>
          <w:sz w:val="24"/>
          <w:szCs w:val="24"/>
        </w:rPr>
        <w:t>ing</w:t>
      </w:r>
      <w:r w:rsidR="00A74416" w:rsidRPr="00B85CED">
        <w:rPr>
          <w:sz w:val="24"/>
          <w:szCs w:val="24"/>
        </w:rPr>
        <w:t xml:space="preserve"> a </w:t>
      </w:r>
      <w:r w:rsidR="00055241">
        <w:rPr>
          <w:sz w:val="24"/>
          <w:szCs w:val="24"/>
        </w:rPr>
        <w:t>school/</w:t>
      </w:r>
      <w:r w:rsidR="00A74416" w:rsidRPr="00B85CED">
        <w:rPr>
          <w:sz w:val="24"/>
          <w:szCs w:val="24"/>
        </w:rPr>
        <w:t xml:space="preserve">student health </w:t>
      </w:r>
      <w:r w:rsidR="009B7604" w:rsidRPr="00B85CED">
        <w:rPr>
          <w:sz w:val="24"/>
          <w:szCs w:val="24"/>
        </w:rPr>
        <w:t xml:space="preserve">equity </w:t>
      </w:r>
      <w:r w:rsidR="00A74416" w:rsidRPr="00B85CED">
        <w:rPr>
          <w:sz w:val="24"/>
          <w:szCs w:val="24"/>
        </w:rPr>
        <w:t>impact assessment tool to support HiAP for education</w:t>
      </w:r>
      <w:r w:rsidR="003F07C9">
        <w:rPr>
          <w:sz w:val="24"/>
          <w:szCs w:val="24"/>
        </w:rPr>
        <w:t xml:space="preserve"> and health in schools</w:t>
      </w:r>
      <w:r w:rsidR="00A74416" w:rsidRPr="00B85CED">
        <w:rPr>
          <w:sz w:val="24"/>
          <w:szCs w:val="24"/>
        </w:rPr>
        <w:t xml:space="preserve"> policies/programs</w:t>
      </w:r>
      <w:r w:rsidR="0004701B">
        <w:rPr>
          <w:sz w:val="24"/>
          <w:szCs w:val="24"/>
        </w:rPr>
        <w:t>/decisions</w:t>
      </w:r>
      <w:r w:rsidRPr="00B85CED">
        <w:rPr>
          <w:sz w:val="24"/>
          <w:szCs w:val="24"/>
        </w:rPr>
        <w:t xml:space="preserve"> that aligns with</w:t>
      </w:r>
      <w:r w:rsidR="00A74416" w:rsidRPr="00B85CED">
        <w:rPr>
          <w:sz w:val="24"/>
          <w:szCs w:val="24"/>
        </w:rPr>
        <w:t xml:space="preserve"> school development planning</w:t>
      </w:r>
      <w:r w:rsidR="009B7604" w:rsidRPr="00B85CED">
        <w:rPr>
          <w:sz w:val="24"/>
          <w:szCs w:val="24"/>
        </w:rPr>
        <w:t>.</w:t>
      </w:r>
      <w:r w:rsidR="001B0627" w:rsidRPr="00B85CED">
        <w:rPr>
          <w:sz w:val="24"/>
          <w:szCs w:val="24"/>
        </w:rPr>
        <w:t xml:space="preserve">  </w:t>
      </w:r>
      <w:r w:rsidR="00B85CED" w:rsidRPr="00B85CED">
        <w:rPr>
          <w:sz w:val="24"/>
          <w:szCs w:val="24"/>
        </w:rPr>
        <w:t xml:space="preserve">Can this tool be a component of the revised HSP?  </w:t>
      </w:r>
      <w:r w:rsidR="00B85CED">
        <w:rPr>
          <w:sz w:val="24"/>
          <w:szCs w:val="24"/>
        </w:rPr>
        <w:t>H</w:t>
      </w:r>
      <w:r w:rsidR="00B85CED" w:rsidRPr="00B85CED">
        <w:rPr>
          <w:sz w:val="24"/>
          <w:szCs w:val="24"/>
        </w:rPr>
        <w:t xml:space="preserve">ow </w:t>
      </w:r>
      <w:r w:rsidR="00B85CED">
        <w:rPr>
          <w:sz w:val="24"/>
          <w:szCs w:val="24"/>
        </w:rPr>
        <w:t xml:space="preserve">can </w:t>
      </w:r>
      <w:r w:rsidR="00B85CED" w:rsidRPr="00B85CED">
        <w:rPr>
          <w:sz w:val="24"/>
          <w:szCs w:val="24"/>
        </w:rPr>
        <w:t>multiple ministries/department</w:t>
      </w:r>
      <w:r w:rsidR="00B85CED">
        <w:rPr>
          <w:sz w:val="24"/>
          <w:szCs w:val="24"/>
        </w:rPr>
        <w:t>s collaborate to create this tool and collect data?</w:t>
      </w:r>
      <w:r w:rsidR="00896F4F">
        <w:rPr>
          <w:sz w:val="24"/>
          <w:szCs w:val="24"/>
        </w:rPr>
        <w:t xml:space="preserve">  Can the equity tool be linked to the CSH framework?</w:t>
      </w:r>
    </w:p>
    <w:p w14:paraId="28E66CBA" w14:textId="77777777" w:rsidR="00A74416" w:rsidRPr="00A74416" w:rsidRDefault="00A74416" w:rsidP="009B7604">
      <w:pPr>
        <w:pStyle w:val="ListParagraph"/>
        <w:spacing w:after="0"/>
        <w:rPr>
          <w:sz w:val="24"/>
          <w:szCs w:val="24"/>
        </w:rPr>
      </w:pPr>
    </w:p>
    <w:p w14:paraId="2AE5E23B" w14:textId="77777777" w:rsidR="00625261" w:rsidRDefault="00625261" w:rsidP="00F57CE2">
      <w:pPr>
        <w:spacing w:after="0"/>
        <w:rPr>
          <w:sz w:val="24"/>
          <w:szCs w:val="24"/>
        </w:rPr>
      </w:pPr>
    </w:p>
    <w:p w14:paraId="5024AFEC" w14:textId="1D8AA9B7" w:rsidR="000C09E6" w:rsidRPr="00DF5709" w:rsidRDefault="00D76370" w:rsidP="00F57CE2">
      <w:pPr>
        <w:spacing w:after="0"/>
        <w:rPr>
          <w:rFonts w:ascii="Arial" w:hAnsi="Arial" w:cs="Arial"/>
          <w:b/>
          <w:u w:val="single"/>
        </w:rPr>
      </w:pPr>
      <w:r>
        <w:rPr>
          <w:rFonts w:ascii="Arial" w:hAnsi="Arial" w:cs="Arial"/>
          <w:b/>
          <w:u w:val="single"/>
        </w:rPr>
        <w:t>Resources</w:t>
      </w:r>
    </w:p>
    <w:p w14:paraId="399FDABE" w14:textId="77777777" w:rsidR="0088656B" w:rsidRPr="000B417C" w:rsidRDefault="0088656B" w:rsidP="0088656B">
      <w:pPr>
        <w:spacing w:after="0"/>
        <w:rPr>
          <w:rFonts w:ascii="Arial" w:hAnsi="Arial" w:cs="Arial"/>
        </w:rPr>
      </w:pPr>
    </w:p>
    <w:p w14:paraId="449789F5" w14:textId="77777777" w:rsidR="007051F3" w:rsidRPr="000B417C" w:rsidRDefault="007051F3" w:rsidP="0088656B">
      <w:pPr>
        <w:spacing w:after="0"/>
        <w:rPr>
          <w:rFonts w:ascii="Arial" w:hAnsi="Arial" w:cs="Arial"/>
          <w:b/>
        </w:rPr>
      </w:pPr>
      <w:r w:rsidRPr="000B417C">
        <w:rPr>
          <w:rFonts w:ascii="Arial" w:hAnsi="Arial" w:cs="Arial"/>
          <w:b/>
        </w:rPr>
        <w:t>Str</w:t>
      </w:r>
      <w:r w:rsidR="000F5081" w:rsidRPr="000B417C">
        <w:rPr>
          <w:rFonts w:ascii="Arial" w:hAnsi="Arial" w:cs="Arial"/>
          <w:b/>
        </w:rPr>
        <w:t>uctural</w:t>
      </w:r>
      <w:r w:rsidR="00A54576" w:rsidRPr="000B417C">
        <w:rPr>
          <w:rFonts w:ascii="Arial" w:hAnsi="Arial" w:cs="Arial"/>
          <w:b/>
        </w:rPr>
        <w:t>/Social</w:t>
      </w:r>
      <w:r w:rsidR="000F5081" w:rsidRPr="000B417C">
        <w:rPr>
          <w:rFonts w:ascii="Arial" w:hAnsi="Arial" w:cs="Arial"/>
          <w:b/>
        </w:rPr>
        <w:t xml:space="preserve"> Determinants of Health</w:t>
      </w:r>
    </w:p>
    <w:p w14:paraId="04945B2B" w14:textId="77777777" w:rsidR="00A54576" w:rsidRPr="000B417C" w:rsidRDefault="00A54576" w:rsidP="00A54576">
      <w:pPr>
        <w:pStyle w:val="ListParagraph"/>
        <w:spacing w:after="0"/>
        <w:rPr>
          <w:rFonts w:ascii="Arial" w:hAnsi="Arial" w:cs="Arial"/>
        </w:rPr>
      </w:pPr>
    </w:p>
    <w:p w14:paraId="4A7A27F5" w14:textId="08D6D80D" w:rsidR="0088656B" w:rsidRPr="000B417C" w:rsidRDefault="00510FE1" w:rsidP="00A54576">
      <w:pPr>
        <w:pStyle w:val="ListParagraph"/>
        <w:numPr>
          <w:ilvl w:val="0"/>
          <w:numId w:val="9"/>
        </w:numPr>
        <w:spacing w:after="0"/>
        <w:rPr>
          <w:rStyle w:val="Hyperlink"/>
          <w:rFonts w:ascii="Arial" w:hAnsi="Arial" w:cs="Arial"/>
          <w:color w:val="2E74B5" w:themeColor="accent1" w:themeShade="BF"/>
        </w:rPr>
      </w:pPr>
      <w:hyperlink r:id="rId6" w:history="1">
        <w:r w:rsidR="0088656B" w:rsidRPr="000B417C">
          <w:rPr>
            <w:rStyle w:val="Hyperlink"/>
            <w:rFonts w:ascii="Arial" w:hAnsi="Arial" w:cs="Arial"/>
            <w:color w:val="2E74B5" w:themeColor="accent1" w:themeShade="BF"/>
          </w:rPr>
          <w:t>Best Brains Exchange proceedings report: Strengthening the structural determinants of health post-COVID-19 (Report)</w:t>
        </w:r>
      </w:hyperlink>
      <w:r w:rsidR="000F5081" w:rsidRPr="000B417C">
        <w:rPr>
          <w:rFonts w:ascii="Arial" w:hAnsi="Arial" w:cs="Arial"/>
          <w:color w:val="2E74B5" w:themeColor="accent1" w:themeShade="BF"/>
        </w:rPr>
        <w:t xml:space="preserve"> </w:t>
      </w:r>
    </w:p>
    <w:p w14:paraId="4B5BC9B4" w14:textId="77777777" w:rsidR="000F5081" w:rsidRPr="000B417C" w:rsidRDefault="000F5081" w:rsidP="0088656B">
      <w:pPr>
        <w:spacing w:after="0"/>
        <w:rPr>
          <w:rStyle w:val="Hyperlink"/>
          <w:rFonts w:ascii="Arial" w:hAnsi="Arial" w:cs="Arial"/>
          <w:color w:val="2E74B5" w:themeColor="accent1" w:themeShade="BF"/>
        </w:rPr>
      </w:pPr>
    </w:p>
    <w:p w14:paraId="1B55E738" w14:textId="77777777" w:rsidR="000F5081" w:rsidRPr="000B417C" w:rsidRDefault="00510FE1" w:rsidP="000F5081">
      <w:pPr>
        <w:pStyle w:val="ListParagraph"/>
        <w:numPr>
          <w:ilvl w:val="0"/>
          <w:numId w:val="9"/>
        </w:numPr>
        <w:spacing w:after="0"/>
        <w:rPr>
          <w:rStyle w:val="Hyperlink"/>
          <w:rFonts w:ascii="Arial" w:hAnsi="Arial" w:cs="Arial"/>
          <w:color w:val="2E74B5" w:themeColor="accent1" w:themeShade="BF"/>
          <w:u w:val="none"/>
        </w:rPr>
      </w:pPr>
      <w:hyperlink r:id="rId7" w:history="1">
        <w:r w:rsidR="000F5081" w:rsidRPr="000B417C">
          <w:rPr>
            <w:rStyle w:val="Hyperlink"/>
            <w:rFonts w:ascii="Arial" w:eastAsia="Times New Roman" w:hAnsi="Arial" w:cs="Arial"/>
            <w:color w:val="2E74B5" w:themeColor="accent1" w:themeShade="BF"/>
            <w:shd w:val="clear" w:color="auto" w:fill="FFFFFF"/>
          </w:rPr>
          <w:t>WHO Conceptual SDOH framework</w:t>
        </w:r>
      </w:hyperlink>
    </w:p>
    <w:p w14:paraId="4994073D" w14:textId="77777777" w:rsidR="000F5081" w:rsidRPr="000B417C" w:rsidRDefault="000F5081" w:rsidP="000F5081">
      <w:pPr>
        <w:pStyle w:val="ListParagraph"/>
        <w:rPr>
          <w:rStyle w:val="Hyperlink"/>
          <w:rFonts w:ascii="Arial" w:hAnsi="Arial" w:cs="Arial"/>
          <w:color w:val="2E74B5" w:themeColor="accent1" w:themeShade="BF"/>
          <w:u w:val="none"/>
        </w:rPr>
      </w:pPr>
    </w:p>
    <w:p w14:paraId="0008354F" w14:textId="3BB6744A" w:rsidR="000F5081" w:rsidRPr="000B417C" w:rsidRDefault="00510FE1" w:rsidP="00A54576">
      <w:pPr>
        <w:pStyle w:val="ListParagraph"/>
        <w:numPr>
          <w:ilvl w:val="0"/>
          <w:numId w:val="9"/>
        </w:numPr>
        <w:spacing w:before="240" w:after="240" w:line="240" w:lineRule="auto"/>
        <w:rPr>
          <w:rStyle w:val="Hyperlink"/>
          <w:rFonts w:ascii="Arial" w:eastAsia="Times New Roman" w:hAnsi="Arial" w:cs="Arial"/>
          <w:color w:val="2E74B5" w:themeColor="accent1" w:themeShade="BF"/>
          <w:u w:val="none"/>
        </w:rPr>
      </w:pPr>
      <w:hyperlink r:id="rId8" w:history="1">
        <w:r w:rsidR="000F5081" w:rsidRPr="000B417C">
          <w:rPr>
            <w:rStyle w:val="Hyperlink"/>
            <w:rFonts w:ascii="Arial" w:eastAsia="Times New Roman" w:hAnsi="Arial" w:cs="Arial"/>
            <w:color w:val="2E74B5" w:themeColor="accent1" w:themeShade="BF"/>
            <w:shd w:val="clear" w:color="auto" w:fill="FFFFFF"/>
          </w:rPr>
          <w:t>Frameworks to Address Social Determinants of Health - RHIhub Toolkit (ruralhealthinfo.org)</w:t>
        </w:r>
      </w:hyperlink>
    </w:p>
    <w:p w14:paraId="211AFD7F" w14:textId="77777777" w:rsidR="000B417C" w:rsidRPr="000B417C" w:rsidRDefault="000B417C" w:rsidP="000B417C">
      <w:pPr>
        <w:pStyle w:val="ListParagraph"/>
        <w:rPr>
          <w:rStyle w:val="Hyperlink"/>
          <w:rFonts w:ascii="Arial" w:eastAsia="Times New Roman" w:hAnsi="Arial" w:cs="Arial"/>
          <w:color w:val="2E74B5" w:themeColor="accent1" w:themeShade="BF"/>
          <w:u w:val="none"/>
        </w:rPr>
      </w:pPr>
    </w:p>
    <w:p w14:paraId="4C7F6054" w14:textId="427B1243" w:rsidR="0088656B" w:rsidRPr="000B417C" w:rsidRDefault="00510FE1" w:rsidP="000B417C">
      <w:pPr>
        <w:pStyle w:val="ListParagraph"/>
        <w:numPr>
          <w:ilvl w:val="0"/>
          <w:numId w:val="9"/>
        </w:numPr>
        <w:spacing w:after="0" w:line="240" w:lineRule="auto"/>
        <w:textAlignment w:val="baseline"/>
        <w:rPr>
          <w:rFonts w:ascii="Arial" w:eastAsia="Times New Roman" w:hAnsi="Arial" w:cs="Arial"/>
          <w:color w:val="2E74B5" w:themeColor="accent1" w:themeShade="BF"/>
        </w:rPr>
      </w:pPr>
      <w:hyperlink r:id="rId9" w:history="1">
        <w:r w:rsidR="0088656B" w:rsidRPr="000B417C">
          <w:rPr>
            <w:rStyle w:val="Hyperlink"/>
            <w:rFonts w:ascii="Arial" w:eastAsia="Times New Roman" w:hAnsi="Arial" w:cs="Arial"/>
            <w:color w:val="2E74B5" w:themeColor="accent1" w:themeShade="BF"/>
          </w:rPr>
          <w:t>Understanding Social Determinants of Health (illinois.gov)</w:t>
        </w:r>
      </w:hyperlink>
      <w:r w:rsidR="0088656B" w:rsidRPr="000B417C">
        <w:rPr>
          <w:rFonts w:ascii="Arial" w:eastAsia="Times New Roman" w:hAnsi="Arial" w:cs="Arial"/>
          <w:color w:val="2E74B5" w:themeColor="accent1" w:themeShade="BF"/>
        </w:rPr>
        <w:t>)</w:t>
      </w:r>
    </w:p>
    <w:p w14:paraId="4D9F5932" w14:textId="77777777" w:rsidR="0088656B" w:rsidRPr="000B417C" w:rsidRDefault="0088656B" w:rsidP="0088656B">
      <w:pPr>
        <w:spacing w:after="0"/>
        <w:rPr>
          <w:rFonts w:ascii="Arial" w:hAnsi="Arial" w:cs="Arial"/>
          <w:color w:val="2E74B5" w:themeColor="accent1" w:themeShade="BF"/>
        </w:rPr>
      </w:pPr>
    </w:p>
    <w:p w14:paraId="67BFAB7A" w14:textId="70C9C326" w:rsidR="0088656B" w:rsidRPr="000B417C" w:rsidRDefault="00510FE1" w:rsidP="000B417C">
      <w:pPr>
        <w:pStyle w:val="ListParagraph"/>
        <w:numPr>
          <w:ilvl w:val="0"/>
          <w:numId w:val="9"/>
        </w:numPr>
        <w:spacing w:after="0"/>
        <w:rPr>
          <w:rFonts w:ascii="Arial" w:hAnsi="Arial" w:cs="Arial"/>
          <w:color w:val="2E74B5" w:themeColor="accent1" w:themeShade="BF"/>
        </w:rPr>
      </w:pPr>
      <w:hyperlink r:id="rId10" w:history="1">
        <w:r w:rsidR="000B417C" w:rsidRPr="000B417C">
          <w:rPr>
            <w:rStyle w:val="Hyperlink"/>
            <w:rFonts w:ascii="Arial" w:hAnsi="Arial" w:cs="Arial"/>
            <w:color w:val="2E74B5" w:themeColor="accent1" w:themeShade="BF"/>
          </w:rPr>
          <w:t>Structural Determinants of Health Resource Guide</w:t>
        </w:r>
      </w:hyperlink>
      <w:r w:rsidR="000B417C" w:rsidRPr="000B417C">
        <w:rPr>
          <w:rFonts w:ascii="Arial" w:hAnsi="Arial" w:cs="Arial"/>
          <w:color w:val="2E74B5" w:themeColor="accent1" w:themeShade="BF"/>
        </w:rPr>
        <w:t xml:space="preserve"> </w:t>
      </w:r>
    </w:p>
    <w:p w14:paraId="3F224DF9" w14:textId="77777777" w:rsidR="0088656B" w:rsidRPr="000B417C" w:rsidRDefault="0088656B" w:rsidP="0088656B">
      <w:pPr>
        <w:spacing w:after="0"/>
        <w:rPr>
          <w:rFonts w:ascii="Arial" w:hAnsi="Arial" w:cs="Arial"/>
          <w:color w:val="2E74B5" w:themeColor="accent1" w:themeShade="BF"/>
        </w:rPr>
      </w:pPr>
    </w:p>
    <w:p w14:paraId="4208AA65" w14:textId="60470DD1" w:rsidR="000B417C" w:rsidRPr="00163CC3" w:rsidRDefault="00510FE1" w:rsidP="000B417C">
      <w:pPr>
        <w:pStyle w:val="ListParagraph"/>
        <w:numPr>
          <w:ilvl w:val="0"/>
          <w:numId w:val="9"/>
        </w:numPr>
        <w:shd w:val="clear" w:color="auto" w:fill="FFFFFF"/>
        <w:spacing w:after="0" w:line="240" w:lineRule="auto"/>
        <w:rPr>
          <w:rFonts w:ascii="Arial" w:eastAsia="Times New Roman" w:hAnsi="Arial" w:cs="Arial"/>
          <w:color w:val="2E74B5" w:themeColor="accent1" w:themeShade="BF"/>
        </w:rPr>
      </w:pPr>
      <w:hyperlink r:id="rId11" w:history="1">
        <w:r w:rsidR="000B417C" w:rsidRPr="000B417C">
          <w:rPr>
            <w:rStyle w:val="Hyperlink"/>
            <w:rFonts w:ascii="Arial" w:hAnsi="Arial" w:cs="Arial"/>
            <w:color w:val="2E74B5" w:themeColor="accent1" w:themeShade="BF"/>
          </w:rPr>
          <w:t>The Structural and Social Determinants of the Racial/Ethnic Disparities in the U.S. COVID-19 Pandemic</w:t>
        </w:r>
      </w:hyperlink>
    </w:p>
    <w:p w14:paraId="4ADFA382" w14:textId="77777777" w:rsidR="00163CC3" w:rsidRPr="00163CC3" w:rsidRDefault="00163CC3" w:rsidP="00163CC3">
      <w:pPr>
        <w:pStyle w:val="ListParagraph"/>
        <w:rPr>
          <w:rFonts w:ascii="Arial" w:eastAsia="Times New Roman" w:hAnsi="Arial" w:cs="Arial"/>
          <w:color w:val="2E74B5" w:themeColor="accent1" w:themeShade="BF"/>
        </w:rPr>
      </w:pPr>
    </w:p>
    <w:p w14:paraId="5E982414" w14:textId="77777777" w:rsidR="00163CC3" w:rsidRPr="00536F74" w:rsidRDefault="00510FE1" w:rsidP="00163CC3">
      <w:pPr>
        <w:pStyle w:val="ListParagraph"/>
        <w:numPr>
          <w:ilvl w:val="0"/>
          <w:numId w:val="9"/>
        </w:numPr>
        <w:spacing w:after="0"/>
        <w:rPr>
          <w:rFonts w:ascii="Arial" w:hAnsi="Arial" w:cs="Arial"/>
          <w:color w:val="0070C0"/>
        </w:rPr>
      </w:pPr>
      <w:hyperlink r:id="rId12" w:history="1">
        <w:r w:rsidR="00163CC3" w:rsidRPr="00536F74">
          <w:rPr>
            <w:rStyle w:val="Hyperlink"/>
            <w:rFonts w:ascii="Arial" w:hAnsi="Arial" w:cs="Arial"/>
            <w:color w:val="0070C0"/>
          </w:rPr>
          <w:t>Social determinants of health and health inequalities - Canada.ca</w:t>
        </w:r>
      </w:hyperlink>
    </w:p>
    <w:p w14:paraId="56FD5D08" w14:textId="77777777" w:rsidR="000B417C" w:rsidRPr="000B417C" w:rsidRDefault="000B417C" w:rsidP="000B417C">
      <w:pPr>
        <w:pStyle w:val="ListParagraph"/>
        <w:shd w:val="clear" w:color="auto" w:fill="FFFFFF"/>
        <w:spacing w:after="0" w:line="240" w:lineRule="auto"/>
        <w:rPr>
          <w:rFonts w:ascii="Arial" w:eastAsia="Times New Roman" w:hAnsi="Arial" w:cs="Arial"/>
        </w:rPr>
      </w:pPr>
    </w:p>
    <w:p w14:paraId="29EB28E3" w14:textId="77777777" w:rsidR="00395901" w:rsidRPr="000B417C" w:rsidRDefault="00395901" w:rsidP="00395901">
      <w:pPr>
        <w:rPr>
          <w:rFonts w:ascii="Arial" w:hAnsi="Arial" w:cs="Arial"/>
          <w:b/>
          <w:bCs/>
        </w:rPr>
      </w:pPr>
      <w:r w:rsidRPr="000B417C">
        <w:rPr>
          <w:rFonts w:ascii="Arial" w:hAnsi="Arial" w:cs="Arial"/>
          <w:b/>
          <w:bCs/>
        </w:rPr>
        <w:t>Critical Consciousness:</w:t>
      </w:r>
    </w:p>
    <w:p w14:paraId="3D8C4C87" w14:textId="2994ABDD" w:rsidR="00395901" w:rsidRPr="000B417C" w:rsidRDefault="00510FE1" w:rsidP="000B417C">
      <w:pPr>
        <w:pStyle w:val="ListParagraph"/>
        <w:numPr>
          <w:ilvl w:val="0"/>
          <w:numId w:val="12"/>
        </w:numPr>
        <w:rPr>
          <w:rFonts w:ascii="Arial" w:eastAsia="Times New Roman" w:hAnsi="Arial" w:cs="Arial"/>
          <w:color w:val="2E74B5" w:themeColor="accent1" w:themeShade="BF"/>
        </w:rPr>
      </w:pPr>
      <w:hyperlink r:id="rId13" w:history="1">
        <w:r w:rsidR="00395901" w:rsidRPr="000B417C">
          <w:rPr>
            <w:rStyle w:val="Hyperlink"/>
            <w:rFonts w:ascii="Arial" w:eastAsia="Times New Roman" w:hAnsi="Arial" w:cs="Arial"/>
            <w:color w:val="2E74B5" w:themeColor="accent1" w:themeShade="BF"/>
          </w:rPr>
          <w:t>Critical Consciousness: A critique and critical analysis of the literature</w:t>
        </w:r>
      </w:hyperlink>
      <w:r w:rsidR="00395901" w:rsidRPr="000B417C">
        <w:rPr>
          <w:rFonts w:ascii="Arial" w:eastAsia="Times New Roman" w:hAnsi="Arial" w:cs="Arial"/>
          <w:color w:val="2E74B5" w:themeColor="accent1" w:themeShade="BF"/>
        </w:rPr>
        <w:t xml:space="preserve"> </w:t>
      </w:r>
    </w:p>
    <w:p w14:paraId="4A60BC7F" w14:textId="77777777" w:rsidR="00395901" w:rsidRPr="000B417C" w:rsidRDefault="00395901" w:rsidP="00395901">
      <w:pPr>
        <w:shd w:val="clear" w:color="auto" w:fill="FFFFFF"/>
        <w:spacing w:after="0" w:line="240" w:lineRule="auto"/>
        <w:rPr>
          <w:rFonts w:ascii="Arial" w:eastAsia="Times New Roman" w:hAnsi="Arial" w:cs="Arial"/>
        </w:rPr>
      </w:pPr>
    </w:p>
    <w:p w14:paraId="21479527" w14:textId="16DDE639" w:rsidR="00983CDD" w:rsidRPr="000B417C" w:rsidRDefault="00983CDD" w:rsidP="00163CC3">
      <w:pPr>
        <w:spacing w:after="0"/>
        <w:rPr>
          <w:rFonts w:ascii="Arial" w:hAnsi="Arial" w:cs="Arial"/>
          <w:b/>
        </w:rPr>
      </w:pPr>
      <w:r w:rsidRPr="000B417C">
        <w:rPr>
          <w:rFonts w:ascii="Arial" w:hAnsi="Arial" w:cs="Arial"/>
          <w:b/>
        </w:rPr>
        <w:t>Health Equity</w:t>
      </w:r>
      <w:r w:rsidR="00163CC3">
        <w:rPr>
          <w:rFonts w:ascii="Arial" w:hAnsi="Arial" w:cs="Arial"/>
          <w:b/>
        </w:rPr>
        <w:t xml:space="preserve"> and Health Equity</w:t>
      </w:r>
      <w:r w:rsidR="00575AD5">
        <w:rPr>
          <w:rFonts w:ascii="Arial" w:hAnsi="Arial" w:cs="Arial"/>
          <w:b/>
        </w:rPr>
        <w:t xml:space="preserve"> Impact Assessment</w:t>
      </w:r>
    </w:p>
    <w:p w14:paraId="5231CFC9" w14:textId="77777777" w:rsidR="00983CDD" w:rsidRPr="00163CC3" w:rsidRDefault="00983CDD" w:rsidP="00983CDD">
      <w:pPr>
        <w:spacing w:after="0"/>
        <w:rPr>
          <w:rFonts w:ascii="Arial" w:hAnsi="Arial" w:cs="Arial"/>
          <w:color w:val="0070C0"/>
        </w:rPr>
      </w:pPr>
    </w:p>
    <w:p w14:paraId="5BFD2AF5" w14:textId="2F31719E" w:rsidR="00983CDD" w:rsidRPr="00163CC3" w:rsidRDefault="00510FE1" w:rsidP="000B417C">
      <w:pPr>
        <w:pStyle w:val="ListParagraph"/>
        <w:numPr>
          <w:ilvl w:val="0"/>
          <w:numId w:val="16"/>
        </w:numPr>
        <w:spacing w:after="0"/>
        <w:rPr>
          <w:rFonts w:ascii="Arial" w:hAnsi="Arial" w:cs="Arial"/>
          <w:color w:val="0070C0"/>
        </w:rPr>
      </w:pPr>
      <w:hyperlink r:id="rId14" w:history="1">
        <w:r w:rsidR="00983CDD" w:rsidRPr="00163CC3">
          <w:rPr>
            <w:rStyle w:val="Hyperlink"/>
            <w:rFonts w:ascii="Arial" w:hAnsi="Arial" w:cs="Arial"/>
            <w:color w:val="0070C0"/>
          </w:rPr>
          <w:t>Health Equity Impact Assessment | Wellesley Institute</w:t>
        </w:r>
      </w:hyperlink>
    </w:p>
    <w:p w14:paraId="1A65EA26" w14:textId="77777777" w:rsidR="00983CDD" w:rsidRPr="00163CC3" w:rsidRDefault="00983CDD" w:rsidP="00983CDD">
      <w:pPr>
        <w:spacing w:after="0"/>
        <w:rPr>
          <w:rFonts w:ascii="Arial" w:hAnsi="Arial" w:cs="Arial"/>
          <w:color w:val="0070C0"/>
        </w:rPr>
      </w:pPr>
    </w:p>
    <w:p w14:paraId="52D471EB" w14:textId="26546BC7" w:rsidR="00983CDD" w:rsidRPr="00163CC3" w:rsidRDefault="00510FE1" w:rsidP="000B417C">
      <w:pPr>
        <w:pStyle w:val="ListParagraph"/>
        <w:numPr>
          <w:ilvl w:val="0"/>
          <w:numId w:val="16"/>
        </w:numPr>
        <w:spacing w:after="0"/>
        <w:rPr>
          <w:rFonts w:ascii="Arial" w:hAnsi="Arial" w:cs="Arial"/>
          <w:color w:val="0070C0"/>
        </w:rPr>
      </w:pPr>
      <w:hyperlink r:id="rId15" w:history="1">
        <w:r w:rsidR="00983CDD" w:rsidRPr="00163CC3">
          <w:rPr>
            <w:rStyle w:val="Hyperlink"/>
            <w:rFonts w:ascii="Arial" w:hAnsi="Arial" w:cs="Arial"/>
            <w:color w:val="0070C0"/>
          </w:rPr>
          <w:t>Equity Policy Assessment (tdsb.on.ca)</w:t>
        </w:r>
      </w:hyperlink>
    </w:p>
    <w:p w14:paraId="3B233477" w14:textId="77777777" w:rsidR="00983CDD" w:rsidRPr="00163CC3" w:rsidRDefault="00983CDD" w:rsidP="00983CDD">
      <w:pPr>
        <w:spacing w:after="0"/>
        <w:rPr>
          <w:rFonts w:ascii="Arial" w:hAnsi="Arial" w:cs="Arial"/>
          <w:color w:val="0070C0"/>
        </w:rPr>
      </w:pPr>
    </w:p>
    <w:p w14:paraId="2F820EE1" w14:textId="0B6097F5" w:rsidR="00983CDD" w:rsidRPr="00163CC3" w:rsidRDefault="00510FE1" w:rsidP="000B417C">
      <w:pPr>
        <w:pStyle w:val="ListParagraph"/>
        <w:numPr>
          <w:ilvl w:val="0"/>
          <w:numId w:val="16"/>
        </w:numPr>
        <w:spacing w:after="0"/>
        <w:rPr>
          <w:rStyle w:val="Hyperlink"/>
          <w:rFonts w:ascii="Arial" w:hAnsi="Arial" w:cs="Arial"/>
          <w:color w:val="0070C0"/>
          <w:u w:val="none"/>
        </w:rPr>
      </w:pPr>
      <w:hyperlink r:id="rId16" w:history="1">
        <w:r w:rsidR="00983CDD" w:rsidRPr="00163CC3">
          <w:rPr>
            <w:rStyle w:val="Hyperlink"/>
            <w:rFonts w:ascii="Arial" w:hAnsi="Arial" w:cs="Arial"/>
            <w:color w:val="0070C0"/>
          </w:rPr>
          <w:t>Health Equity Impact Assessment (HEIA) - Ministry Programs - Health Care Professionals - MOH (gov.on.ca)</w:t>
        </w:r>
      </w:hyperlink>
    </w:p>
    <w:p w14:paraId="7FEDC964" w14:textId="77777777" w:rsidR="00983CDD" w:rsidRPr="00163CC3" w:rsidRDefault="00983CDD" w:rsidP="00983CDD">
      <w:pPr>
        <w:keepLines/>
        <w:spacing w:after="0"/>
        <w:rPr>
          <w:rFonts w:ascii="Arial" w:hAnsi="Arial" w:cs="Arial"/>
          <w:color w:val="0070C0"/>
        </w:rPr>
      </w:pPr>
    </w:p>
    <w:p w14:paraId="7138F28E" w14:textId="42DBB19B" w:rsidR="0088656B" w:rsidRPr="00163CC3" w:rsidRDefault="00510FE1" w:rsidP="00575AD5">
      <w:pPr>
        <w:pStyle w:val="ListParagraph"/>
        <w:numPr>
          <w:ilvl w:val="0"/>
          <w:numId w:val="16"/>
        </w:numPr>
        <w:spacing w:after="0"/>
        <w:rPr>
          <w:rStyle w:val="Hyperlink"/>
          <w:rFonts w:ascii="Arial" w:hAnsi="Arial" w:cs="Arial"/>
          <w:color w:val="0070C0"/>
        </w:rPr>
      </w:pPr>
      <w:hyperlink r:id="rId17" w:history="1">
        <w:r w:rsidR="004A56A3" w:rsidRPr="00163CC3">
          <w:rPr>
            <w:rStyle w:val="Hyperlink"/>
            <w:rFonts w:ascii="Arial" w:hAnsi="Arial" w:cs="Arial"/>
            <w:color w:val="0070C0"/>
          </w:rPr>
          <w:t>Health Equity Tools Inventory 2.0.pdf (uvic.ca)</w:t>
        </w:r>
      </w:hyperlink>
    </w:p>
    <w:p w14:paraId="0ECFBD52" w14:textId="77777777" w:rsidR="00C82FCF" w:rsidRPr="00163CC3" w:rsidRDefault="00C82FCF" w:rsidP="00C82FCF">
      <w:pPr>
        <w:pStyle w:val="ListParagraph"/>
        <w:rPr>
          <w:rStyle w:val="Hyperlink"/>
          <w:rFonts w:ascii="Arial" w:hAnsi="Arial" w:cs="Arial"/>
          <w:color w:val="0070C0"/>
        </w:rPr>
      </w:pPr>
    </w:p>
    <w:p w14:paraId="01395071" w14:textId="278D6B9E" w:rsidR="00C82FCF" w:rsidRDefault="00510FE1" w:rsidP="00575AD5">
      <w:pPr>
        <w:pStyle w:val="ListParagraph"/>
        <w:numPr>
          <w:ilvl w:val="0"/>
          <w:numId w:val="16"/>
        </w:numPr>
        <w:spacing w:after="0"/>
        <w:rPr>
          <w:rStyle w:val="Hyperlink"/>
          <w:rFonts w:ascii="Arial" w:hAnsi="Arial" w:cs="Arial"/>
          <w:color w:val="0070C0"/>
        </w:rPr>
      </w:pPr>
      <w:hyperlink r:id="rId18" w:history="1">
        <w:r w:rsidR="00C82FCF" w:rsidRPr="00163CC3">
          <w:rPr>
            <w:rStyle w:val="Hyperlink"/>
            <w:rFonts w:ascii="Arial" w:hAnsi="Arial" w:cs="Arial"/>
            <w:color w:val="0070C0"/>
          </w:rPr>
          <w:t>Advancing Efforts to Achieve Health Equity: Equity Metrics for Health Impact Assessment Practice</w:t>
        </w:r>
      </w:hyperlink>
    </w:p>
    <w:p w14:paraId="2D4AB0E5" w14:textId="77777777" w:rsidR="0004331A" w:rsidRPr="0004331A" w:rsidRDefault="0004331A" w:rsidP="0004331A">
      <w:pPr>
        <w:pStyle w:val="ListParagraph"/>
        <w:rPr>
          <w:rStyle w:val="Hyperlink"/>
          <w:rFonts w:ascii="Arial" w:hAnsi="Arial" w:cs="Arial"/>
          <w:color w:val="0070C0"/>
        </w:rPr>
      </w:pPr>
    </w:p>
    <w:p w14:paraId="77665EAB" w14:textId="63105AA3" w:rsidR="0004331A" w:rsidRPr="0004331A" w:rsidRDefault="0004331A" w:rsidP="0004331A">
      <w:pPr>
        <w:spacing w:after="0"/>
        <w:rPr>
          <w:rStyle w:val="Hyperlink"/>
          <w:rFonts w:ascii="Arial" w:hAnsi="Arial" w:cs="Arial"/>
          <w:color w:val="0070C0"/>
        </w:rPr>
      </w:pPr>
    </w:p>
    <w:p w14:paraId="30BE158B" w14:textId="77777777" w:rsidR="00A54576" w:rsidRPr="000B417C" w:rsidRDefault="00A54576" w:rsidP="0088656B">
      <w:pPr>
        <w:spacing w:after="0"/>
        <w:rPr>
          <w:rStyle w:val="Hyperlink"/>
          <w:rFonts w:ascii="Arial" w:hAnsi="Arial" w:cs="Arial"/>
        </w:rPr>
      </w:pPr>
    </w:p>
    <w:p w14:paraId="074D34F7" w14:textId="77777777" w:rsidR="00A54576" w:rsidRPr="000B417C" w:rsidRDefault="00A54576" w:rsidP="0088656B">
      <w:pPr>
        <w:spacing w:after="0"/>
        <w:rPr>
          <w:rFonts w:ascii="Arial" w:hAnsi="Arial" w:cs="Arial"/>
        </w:rPr>
      </w:pPr>
    </w:p>
    <w:sectPr w:rsidR="00A54576" w:rsidRPr="000B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E38"/>
    <w:multiLevelType w:val="hybridMultilevel"/>
    <w:tmpl w:val="B85A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93A8E"/>
    <w:multiLevelType w:val="hybridMultilevel"/>
    <w:tmpl w:val="D1A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3BFD"/>
    <w:multiLevelType w:val="hybridMultilevel"/>
    <w:tmpl w:val="9EA8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76C5"/>
    <w:multiLevelType w:val="hybridMultilevel"/>
    <w:tmpl w:val="700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E4C59"/>
    <w:multiLevelType w:val="hybridMultilevel"/>
    <w:tmpl w:val="E6AABEA4"/>
    <w:lvl w:ilvl="0" w:tplc="38683CD4">
      <w:start w:val="1"/>
      <w:numFmt w:val="decimal"/>
      <w:lvlText w:val="%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29223F98"/>
    <w:multiLevelType w:val="hybridMultilevel"/>
    <w:tmpl w:val="F5B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4169D"/>
    <w:multiLevelType w:val="multilevel"/>
    <w:tmpl w:val="970630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916D4A"/>
    <w:multiLevelType w:val="hybridMultilevel"/>
    <w:tmpl w:val="2F96EB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677B9"/>
    <w:multiLevelType w:val="hybridMultilevel"/>
    <w:tmpl w:val="E280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E7867"/>
    <w:multiLevelType w:val="multilevel"/>
    <w:tmpl w:val="BD74C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9146E1"/>
    <w:multiLevelType w:val="hybridMultilevel"/>
    <w:tmpl w:val="A4E6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A70B6"/>
    <w:multiLevelType w:val="hybridMultilevel"/>
    <w:tmpl w:val="17FE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F7CDF"/>
    <w:multiLevelType w:val="hybridMultilevel"/>
    <w:tmpl w:val="59C439FA"/>
    <w:lvl w:ilvl="0" w:tplc="5450FEB6">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463F3"/>
    <w:multiLevelType w:val="hybridMultilevel"/>
    <w:tmpl w:val="211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0C6"/>
    <w:multiLevelType w:val="hybridMultilevel"/>
    <w:tmpl w:val="12DE0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8167BB3"/>
    <w:multiLevelType w:val="multilevel"/>
    <w:tmpl w:val="A1BA0F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DF702A"/>
    <w:multiLevelType w:val="multilevel"/>
    <w:tmpl w:val="9C9A56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3"/>
  </w:num>
  <w:num w:numId="9">
    <w:abstractNumId w:val="0"/>
  </w:num>
  <w:num w:numId="10">
    <w:abstractNumId w:val="5"/>
  </w:num>
  <w:num w:numId="11">
    <w:abstractNumId w:val="3"/>
  </w:num>
  <w:num w:numId="12">
    <w:abstractNumId w:val="10"/>
  </w:num>
  <w:num w:numId="13">
    <w:abstractNumId w:val="7"/>
  </w:num>
  <w:num w:numId="14">
    <w:abstractNumId w:val="12"/>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E2"/>
    <w:rsid w:val="0000335E"/>
    <w:rsid w:val="0004331A"/>
    <w:rsid w:val="0004701B"/>
    <w:rsid w:val="0005340A"/>
    <w:rsid w:val="00055241"/>
    <w:rsid w:val="00057357"/>
    <w:rsid w:val="000604E2"/>
    <w:rsid w:val="00095342"/>
    <w:rsid w:val="000B417C"/>
    <w:rsid w:val="000C09E6"/>
    <w:rsid w:val="000E0917"/>
    <w:rsid w:val="000E177A"/>
    <w:rsid w:val="000E2EAF"/>
    <w:rsid w:val="000F5081"/>
    <w:rsid w:val="00105B93"/>
    <w:rsid w:val="00163CC3"/>
    <w:rsid w:val="001B0627"/>
    <w:rsid w:val="00296E9B"/>
    <w:rsid w:val="002B75ED"/>
    <w:rsid w:val="002F41AE"/>
    <w:rsid w:val="00344093"/>
    <w:rsid w:val="00366317"/>
    <w:rsid w:val="00395901"/>
    <w:rsid w:val="003A2C59"/>
    <w:rsid w:val="003A3E93"/>
    <w:rsid w:val="003D09F2"/>
    <w:rsid w:val="003F07C9"/>
    <w:rsid w:val="003F4459"/>
    <w:rsid w:val="0040322B"/>
    <w:rsid w:val="004177DC"/>
    <w:rsid w:val="004806A3"/>
    <w:rsid w:val="00486E09"/>
    <w:rsid w:val="00492E20"/>
    <w:rsid w:val="004A56A3"/>
    <w:rsid w:val="00510FE1"/>
    <w:rsid w:val="005315FD"/>
    <w:rsid w:val="00536F74"/>
    <w:rsid w:val="00541304"/>
    <w:rsid w:val="0055762D"/>
    <w:rsid w:val="00575AD5"/>
    <w:rsid w:val="005D41AF"/>
    <w:rsid w:val="005E4FF1"/>
    <w:rsid w:val="00611AA0"/>
    <w:rsid w:val="00625261"/>
    <w:rsid w:val="0068050C"/>
    <w:rsid w:val="006B42FE"/>
    <w:rsid w:val="007051F3"/>
    <w:rsid w:val="0073790A"/>
    <w:rsid w:val="00747D25"/>
    <w:rsid w:val="007B4ED1"/>
    <w:rsid w:val="007B7042"/>
    <w:rsid w:val="008066B3"/>
    <w:rsid w:val="00821B7C"/>
    <w:rsid w:val="00833069"/>
    <w:rsid w:val="00855241"/>
    <w:rsid w:val="00864A7D"/>
    <w:rsid w:val="00865593"/>
    <w:rsid w:val="008762AC"/>
    <w:rsid w:val="0088656B"/>
    <w:rsid w:val="00896F4F"/>
    <w:rsid w:val="008B1909"/>
    <w:rsid w:val="008C6257"/>
    <w:rsid w:val="008D41AC"/>
    <w:rsid w:val="009353ED"/>
    <w:rsid w:val="00955F89"/>
    <w:rsid w:val="00983CDD"/>
    <w:rsid w:val="009B7604"/>
    <w:rsid w:val="009E1AAB"/>
    <w:rsid w:val="009F0A82"/>
    <w:rsid w:val="00A33F53"/>
    <w:rsid w:val="00A54576"/>
    <w:rsid w:val="00A64A77"/>
    <w:rsid w:val="00A74416"/>
    <w:rsid w:val="00AF24AE"/>
    <w:rsid w:val="00B1133A"/>
    <w:rsid w:val="00B74265"/>
    <w:rsid w:val="00B8361B"/>
    <w:rsid w:val="00B85CED"/>
    <w:rsid w:val="00BC7052"/>
    <w:rsid w:val="00BE493B"/>
    <w:rsid w:val="00BF112C"/>
    <w:rsid w:val="00C27F82"/>
    <w:rsid w:val="00C4575A"/>
    <w:rsid w:val="00C82FCF"/>
    <w:rsid w:val="00CE5902"/>
    <w:rsid w:val="00D03E58"/>
    <w:rsid w:val="00D0430C"/>
    <w:rsid w:val="00D149AE"/>
    <w:rsid w:val="00D2594C"/>
    <w:rsid w:val="00D33163"/>
    <w:rsid w:val="00D76370"/>
    <w:rsid w:val="00D92983"/>
    <w:rsid w:val="00DF5709"/>
    <w:rsid w:val="00E463A2"/>
    <w:rsid w:val="00EA3C4D"/>
    <w:rsid w:val="00EB08F6"/>
    <w:rsid w:val="00ED316F"/>
    <w:rsid w:val="00EE4579"/>
    <w:rsid w:val="00F21793"/>
    <w:rsid w:val="00F32E29"/>
    <w:rsid w:val="00F57CE2"/>
    <w:rsid w:val="00F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5C2C"/>
  <w15:chartTrackingRefBased/>
  <w15:docId w15:val="{E18EE04B-A9DA-4D79-B35F-EBC7ABF0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E2"/>
    <w:rPr>
      <w:color w:val="0563C1" w:themeColor="hyperlink"/>
      <w:u w:val="single"/>
    </w:rPr>
  </w:style>
  <w:style w:type="paragraph" w:styleId="ListParagraph">
    <w:name w:val="List Paragraph"/>
    <w:basedOn w:val="Normal"/>
    <w:uiPriority w:val="34"/>
    <w:qFormat/>
    <w:rsid w:val="00F57CE2"/>
    <w:pPr>
      <w:spacing w:after="200" w:line="276" w:lineRule="auto"/>
      <w:ind w:left="720"/>
      <w:contextualSpacing/>
    </w:pPr>
    <w:rPr>
      <w:lang w:val="en-CA"/>
    </w:rPr>
  </w:style>
  <w:style w:type="table" w:styleId="TableGrid">
    <w:name w:val="Table Grid"/>
    <w:basedOn w:val="TableNormal"/>
    <w:uiPriority w:val="39"/>
    <w:rsid w:val="00F57C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33163"/>
    <w:pPr>
      <w:spacing w:line="240" w:lineRule="auto"/>
    </w:pPr>
    <w:rPr>
      <w:sz w:val="20"/>
      <w:szCs w:val="20"/>
    </w:rPr>
  </w:style>
  <w:style w:type="character" w:customStyle="1" w:styleId="CommentTextChar">
    <w:name w:val="Comment Text Char"/>
    <w:basedOn w:val="DefaultParagraphFont"/>
    <w:link w:val="CommentText"/>
    <w:uiPriority w:val="99"/>
    <w:semiHidden/>
    <w:rsid w:val="00D33163"/>
    <w:rPr>
      <w:sz w:val="20"/>
      <w:szCs w:val="20"/>
    </w:rPr>
  </w:style>
  <w:style w:type="character" w:styleId="FollowedHyperlink">
    <w:name w:val="FollowedHyperlink"/>
    <w:basedOn w:val="DefaultParagraphFont"/>
    <w:uiPriority w:val="99"/>
    <w:semiHidden/>
    <w:unhideWhenUsed/>
    <w:rsid w:val="00A54576"/>
    <w:rPr>
      <w:color w:val="954F72" w:themeColor="followedHyperlink"/>
      <w:u w:val="single"/>
    </w:rPr>
  </w:style>
  <w:style w:type="character" w:styleId="CommentReference">
    <w:name w:val="annotation reference"/>
    <w:basedOn w:val="DefaultParagraphFont"/>
    <w:uiPriority w:val="99"/>
    <w:semiHidden/>
    <w:unhideWhenUsed/>
    <w:rsid w:val="00BF112C"/>
    <w:rPr>
      <w:sz w:val="16"/>
      <w:szCs w:val="16"/>
    </w:rPr>
  </w:style>
  <w:style w:type="paragraph" w:styleId="CommentSubject">
    <w:name w:val="annotation subject"/>
    <w:basedOn w:val="CommentText"/>
    <w:next w:val="CommentText"/>
    <w:link w:val="CommentSubjectChar"/>
    <w:uiPriority w:val="99"/>
    <w:semiHidden/>
    <w:unhideWhenUsed/>
    <w:rsid w:val="00BF112C"/>
    <w:rPr>
      <w:b/>
      <w:bCs/>
    </w:rPr>
  </w:style>
  <w:style w:type="character" w:customStyle="1" w:styleId="CommentSubjectChar">
    <w:name w:val="Comment Subject Char"/>
    <w:basedOn w:val="CommentTextChar"/>
    <w:link w:val="CommentSubject"/>
    <w:uiPriority w:val="99"/>
    <w:semiHidden/>
    <w:rsid w:val="00BF112C"/>
    <w:rPr>
      <w:b/>
      <w:bCs/>
      <w:sz w:val="20"/>
      <w:szCs w:val="20"/>
    </w:rPr>
  </w:style>
  <w:style w:type="paragraph" w:styleId="BalloonText">
    <w:name w:val="Balloon Text"/>
    <w:basedOn w:val="Normal"/>
    <w:link w:val="BalloonTextChar"/>
    <w:uiPriority w:val="99"/>
    <w:semiHidden/>
    <w:unhideWhenUsed/>
    <w:rsid w:val="00BF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4185">
      <w:bodyDiv w:val="1"/>
      <w:marLeft w:val="0"/>
      <w:marRight w:val="0"/>
      <w:marTop w:val="0"/>
      <w:marBottom w:val="0"/>
      <w:divBdr>
        <w:top w:val="none" w:sz="0" w:space="0" w:color="auto"/>
        <w:left w:val="none" w:sz="0" w:space="0" w:color="auto"/>
        <w:bottom w:val="none" w:sz="0" w:space="0" w:color="auto"/>
        <w:right w:val="none" w:sz="0" w:space="0" w:color="auto"/>
      </w:divBdr>
    </w:div>
    <w:div w:id="304438165">
      <w:bodyDiv w:val="1"/>
      <w:marLeft w:val="0"/>
      <w:marRight w:val="0"/>
      <w:marTop w:val="0"/>
      <w:marBottom w:val="0"/>
      <w:divBdr>
        <w:top w:val="none" w:sz="0" w:space="0" w:color="auto"/>
        <w:left w:val="none" w:sz="0" w:space="0" w:color="auto"/>
        <w:bottom w:val="none" w:sz="0" w:space="0" w:color="auto"/>
        <w:right w:val="none" w:sz="0" w:space="0" w:color="auto"/>
      </w:divBdr>
    </w:div>
    <w:div w:id="306934727">
      <w:bodyDiv w:val="1"/>
      <w:marLeft w:val="0"/>
      <w:marRight w:val="0"/>
      <w:marTop w:val="0"/>
      <w:marBottom w:val="0"/>
      <w:divBdr>
        <w:top w:val="none" w:sz="0" w:space="0" w:color="auto"/>
        <w:left w:val="none" w:sz="0" w:space="0" w:color="auto"/>
        <w:bottom w:val="none" w:sz="0" w:space="0" w:color="auto"/>
        <w:right w:val="none" w:sz="0" w:space="0" w:color="auto"/>
      </w:divBdr>
    </w:div>
    <w:div w:id="341670294">
      <w:bodyDiv w:val="1"/>
      <w:marLeft w:val="0"/>
      <w:marRight w:val="0"/>
      <w:marTop w:val="0"/>
      <w:marBottom w:val="0"/>
      <w:divBdr>
        <w:top w:val="none" w:sz="0" w:space="0" w:color="auto"/>
        <w:left w:val="none" w:sz="0" w:space="0" w:color="auto"/>
        <w:bottom w:val="none" w:sz="0" w:space="0" w:color="auto"/>
        <w:right w:val="none" w:sz="0" w:space="0" w:color="auto"/>
      </w:divBdr>
    </w:div>
    <w:div w:id="350953259">
      <w:bodyDiv w:val="1"/>
      <w:marLeft w:val="0"/>
      <w:marRight w:val="0"/>
      <w:marTop w:val="0"/>
      <w:marBottom w:val="0"/>
      <w:divBdr>
        <w:top w:val="none" w:sz="0" w:space="0" w:color="auto"/>
        <w:left w:val="none" w:sz="0" w:space="0" w:color="auto"/>
        <w:bottom w:val="none" w:sz="0" w:space="0" w:color="auto"/>
        <w:right w:val="none" w:sz="0" w:space="0" w:color="auto"/>
      </w:divBdr>
    </w:div>
    <w:div w:id="718019311">
      <w:bodyDiv w:val="1"/>
      <w:marLeft w:val="0"/>
      <w:marRight w:val="0"/>
      <w:marTop w:val="0"/>
      <w:marBottom w:val="0"/>
      <w:divBdr>
        <w:top w:val="none" w:sz="0" w:space="0" w:color="auto"/>
        <w:left w:val="none" w:sz="0" w:space="0" w:color="auto"/>
        <w:bottom w:val="none" w:sz="0" w:space="0" w:color="auto"/>
        <w:right w:val="none" w:sz="0" w:space="0" w:color="auto"/>
      </w:divBdr>
    </w:div>
    <w:div w:id="839734433">
      <w:bodyDiv w:val="1"/>
      <w:marLeft w:val="0"/>
      <w:marRight w:val="0"/>
      <w:marTop w:val="0"/>
      <w:marBottom w:val="0"/>
      <w:divBdr>
        <w:top w:val="none" w:sz="0" w:space="0" w:color="auto"/>
        <w:left w:val="none" w:sz="0" w:space="0" w:color="auto"/>
        <w:bottom w:val="none" w:sz="0" w:space="0" w:color="auto"/>
        <w:right w:val="none" w:sz="0" w:space="0" w:color="auto"/>
      </w:divBdr>
    </w:div>
    <w:div w:id="1162087659">
      <w:bodyDiv w:val="1"/>
      <w:marLeft w:val="0"/>
      <w:marRight w:val="0"/>
      <w:marTop w:val="0"/>
      <w:marBottom w:val="0"/>
      <w:divBdr>
        <w:top w:val="none" w:sz="0" w:space="0" w:color="auto"/>
        <w:left w:val="none" w:sz="0" w:space="0" w:color="auto"/>
        <w:bottom w:val="none" w:sz="0" w:space="0" w:color="auto"/>
        <w:right w:val="none" w:sz="0" w:space="0" w:color="auto"/>
      </w:divBdr>
    </w:div>
    <w:div w:id="1479229590">
      <w:bodyDiv w:val="1"/>
      <w:marLeft w:val="0"/>
      <w:marRight w:val="0"/>
      <w:marTop w:val="0"/>
      <w:marBottom w:val="0"/>
      <w:divBdr>
        <w:top w:val="none" w:sz="0" w:space="0" w:color="auto"/>
        <w:left w:val="none" w:sz="0" w:space="0" w:color="auto"/>
        <w:bottom w:val="none" w:sz="0" w:space="0" w:color="auto"/>
        <w:right w:val="none" w:sz="0" w:space="0" w:color="auto"/>
      </w:divBdr>
    </w:div>
    <w:div w:id="1888101263">
      <w:bodyDiv w:val="1"/>
      <w:marLeft w:val="0"/>
      <w:marRight w:val="0"/>
      <w:marTop w:val="0"/>
      <w:marBottom w:val="0"/>
      <w:divBdr>
        <w:top w:val="none" w:sz="0" w:space="0" w:color="auto"/>
        <w:left w:val="none" w:sz="0" w:space="0" w:color="auto"/>
        <w:bottom w:val="none" w:sz="0" w:space="0" w:color="auto"/>
        <w:right w:val="none" w:sz="0" w:space="0" w:color="auto"/>
      </w:divBdr>
    </w:div>
    <w:div w:id="21253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healthinfo.org/toolkits/sdoh/1/frameworks" TargetMode="External"/><Relationship Id="rId13" Type="http://schemas.openxmlformats.org/officeDocument/2006/relationships/hyperlink" Target="https://www.ncbi.nlm.nih.gov/pmc/articles/PMC5892452/" TargetMode="External"/><Relationship Id="rId18" Type="http://schemas.openxmlformats.org/officeDocument/2006/relationships/hyperlink" Target="https://www.mdpi.com/1660-4601/11/11/11054/htm" TargetMode="External"/><Relationship Id="rId3" Type="http://schemas.openxmlformats.org/officeDocument/2006/relationships/styles" Target="styles.xml"/><Relationship Id="rId7" Type="http://schemas.openxmlformats.org/officeDocument/2006/relationships/hyperlink" Target="https://www.who.int/sdhconference/resources/ConceptualframeworkforactiononSDH_eng.pdf" TargetMode="External"/><Relationship Id="rId12" Type="http://schemas.openxmlformats.org/officeDocument/2006/relationships/hyperlink" Target="https://www.canada.ca/en/public-health/services/health-promotion/population-health/what-determines-health.html" TargetMode="External"/><Relationship Id="rId17" Type="http://schemas.openxmlformats.org/officeDocument/2006/relationships/hyperlink" Target="https://www.uvic.ca/research/projects/elph/assets/docs/Health%20Equity%20Tools%20Inventory%202.0.pdf" TargetMode="External"/><Relationship Id="rId2" Type="http://schemas.openxmlformats.org/officeDocument/2006/relationships/numbering" Target="numbering.xml"/><Relationship Id="rId16" Type="http://schemas.openxmlformats.org/officeDocument/2006/relationships/hyperlink" Target="https://www.health.gov.on.ca/en/pro/programs/he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anada.ca/en/public-health/corporate/publications/chief-public-health-officer-reports-state-public-health-canada/from-risk-resilience-equity-approach-covid-19/best-brains-exchange-proceedings-report.html" TargetMode="External"/><Relationship Id="rId11" Type="http://schemas.openxmlformats.org/officeDocument/2006/relationships/hyperlink" Target="https://www.atsjournals.org/doi/pdf/10.1164/rccm.202005-1523PP" TargetMode="External"/><Relationship Id="rId5" Type="http://schemas.openxmlformats.org/officeDocument/2006/relationships/webSettings" Target="webSettings.xml"/><Relationship Id="rId15" Type="http://schemas.openxmlformats.org/officeDocument/2006/relationships/hyperlink" Target="https://www.tdsb.on.ca/About-Us/Policies-Procedures-Forms/Equity-Policy-Assessment" TargetMode="External"/><Relationship Id="rId10" Type="http://schemas.openxmlformats.org/officeDocument/2006/relationships/hyperlink" Target="https://samuelmerritt.libguides.com/structuraldetermin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h.illinois.gov/topics-services/life-stages-populations/infant-mortality/toolkit/understanding-sdoh.html" TargetMode="External"/><Relationship Id="rId14" Type="http://schemas.openxmlformats.org/officeDocument/2006/relationships/hyperlink" Target="https://www.wellesleyinstitute.com/health-equity/heath-equity-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6585-23C7-471F-919E-BD21F42D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Orbasli, Peggy</dc:creator>
  <cp:keywords/>
  <dc:description/>
  <cp:lastModifiedBy>Orbasli, Peggy</cp:lastModifiedBy>
  <cp:revision>3</cp:revision>
  <dcterms:created xsi:type="dcterms:W3CDTF">2022-03-18T16:14:00Z</dcterms:created>
  <dcterms:modified xsi:type="dcterms:W3CDTF">2022-03-21T15:45:00Z</dcterms:modified>
</cp:coreProperties>
</file>